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620" w:rsidRPr="00345335" w:rsidRDefault="004F4620" w:rsidP="00345335">
      <w:pPr>
        <w:spacing w:after="0" w:line="240" w:lineRule="auto"/>
        <w:contextualSpacing/>
        <w:jc w:val="center"/>
        <w:rPr>
          <w:b/>
        </w:rPr>
      </w:pPr>
    </w:p>
    <w:p w:rsidR="004F4620" w:rsidRPr="00345335" w:rsidRDefault="004F4620" w:rsidP="00345335">
      <w:pPr>
        <w:spacing w:after="0" w:line="240" w:lineRule="auto"/>
        <w:contextualSpacing/>
        <w:jc w:val="both"/>
      </w:pPr>
      <w:r w:rsidRPr="00345335">
        <w:t xml:space="preserve">Sljedeći Ugovor između </w:t>
      </w:r>
      <w:r w:rsidRPr="00345335">
        <w:rPr>
          <w:b/>
        </w:rPr>
        <w:t xml:space="preserve">Ureda Vlade za razvoj i </w:t>
      </w:r>
      <w:r w:rsidR="006605E4" w:rsidRPr="00345335">
        <w:rPr>
          <w:b/>
        </w:rPr>
        <w:t xml:space="preserve">europsku </w:t>
      </w:r>
      <w:r w:rsidRPr="00345335">
        <w:rPr>
          <w:b/>
        </w:rPr>
        <w:t xml:space="preserve">kohezijsku politiku (dalje u tekstu </w:t>
      </w:r>
      <w:r w:rsidR="006605E4" w:rsidRPr="00345335">
        <w:rPr>
          <w:b/>
        </w:rPr>
        <w:t xml:space="preserve">Upravljačko </w:t>
      </w:r>
      <w:r w:rsidRPr="00345335">
        <w:rPr>
          <w:b/>
        </w:rPr>
        <w:t xml:space="preserve">tijelo (MA)) </w:t>
      </w:r>
      <w:r w:rsidR="006605E4" w:rsidRPr="00345335">
        <w:rPr>
          <w:b/>
        </w:rPr>
        <w:t>Programa suradnje</w:t>
      </w:r>
      <w:r w:rsidRPr="00345335">
        <w:rPr>
          <w:b/>
        </w:rPr>
        <w:t xml:space="preserve"> </w:t>
      </w:r>
      <w:proofErr w:type="spellStart"/>
      <w:r w:rsidRPr="00345335">
        <w:rPr>
          <w:b/>
        </w:rPr>
        <w:t>Interreg</w:t>
      </w:r>
      <w:proofErr w:type="spellEnd"/>
      <w:r w:rsidRPr="00345335">
        <w:rPr>
          <w:b/>
        </w:rPr>
        <w:t xml:space="preserve"> V-A Slovenija-Hrvatska</w:t>
      </w:r>
      <w:r w:rsidRPr="00345335">
        <w:t xml:space="preserve"> koji predstavlja Ured Vlade za razvoj i europsku kohezijsku politiku, </w:t>
      </w:r>
      <w:proofErr w:type="spellStart"/>
      <w:r w:rsidRPr="00345335">
        <w:t>Kotnikova</w:t>
      </w:r>
      <w:proofErr w:type="spellEnd"/>
      <w:r w:rsidRPr="00345335">
        <w:t xml:space="preserve"> 5, SI – 1000 Ljubljana, Slovenija, koji predstavlja </w:t>
      </w:r>
      <w:r w:rsidR="006605E4" w:rsidRPr="00345335">
        <w:rPr>
          <w:b/>
        </w:rPr>
        <w:t xml:space="preserve">čelnik Upravljačkog </w:t>
      </w:r>
      <w:r w:rsidRPr="00345335">
        <w:rPr>
          <w:b/>
        </w:rPr>
        <w:t xml:space="preserve">tijela </w:t>
      </w:r>
    </w:p>
    <w:p w:rsidR="004F4620" w:rsidRPr="00345335" w:rsidRDefault="004F4620" w:rsidP="00345335">
      <w:pPr>
        <w:spacing w:after="0" w:line="240" w:lineRule="auto"/>
        <w:contextualSpacing/>
        <w:jc w:val="both"/>
      </w:pPr>
    </w:p>
    <w:p w:rsidR="004F4620" w:rsidRPr="00345335" w:rsidRDefault="004F4620" w:rsidP="00345335">
      <w:pPr>
        <w:spacing w:after="0" w:line="240" w:lineRule="auto"/>
        <w:contextualSpacing/>
        <w:jc w:val="both"/>
      </w:pPr>
      <w:r w:rsidRPr="00345335">
        <w:t xml:space="preserve">i </w:t>
      </w:r>
    </w:p>
    <w:p w:rsidR="004F4620" w:rsidRPr="00345335" w:rsidRDefault="004F4620" w:rsidP="00345335">
      <w:pPr>
        <w:spacing w:after="0" w:line="240" w:lineRule="auto"/>
        <w:contextualSpacing/>
        <w:jc w:val="both"/>
      </w:pPr>
    </w:p>
    <w:p w:rsidR="004F4620" w:rsidRPr="00345335" w:rsidRDefault="00C13BB3" w:rsidP="00345335">
      <w:pPr>
        <w:spacing w:after="0" w:line="240" w:lineRule="auto"/>
        <w:contextualSpacing/>
        <w:jc w:val="both"/>
      </w:pPr>
      <w:r w:rsidRPr="00345335">
        <w:rPr>
          <w:b/>
          <w:i/>
          <w:highlight w:val="lightGray"/>
        </w:rPr>
        <w:t>&lt;</w:t>
      </w:r>
      <w:r w:rsidR="004F4620" w:rsidRPr="00345335">
        <w:rPr>
          <w:b/>
          <w:i/>
          <w:highlight w:val="lightGray"/>
        </w:rPr>
        <w:t>Organizacije</w:t>
      </w:r>
      <w:r w:rsidRPr="00345335">
        <w:rPr>
          <w:b/>
          <w:i/>
          <w:highlight w:val="lightGray"/>
        </w:rPr>
        <w:t>&gt;</w:t>
      </w:r>
      <w:r w:rsidR="004F4620" w:rsidRPr="00345335">
        <w:t xml:space="preserve">, koju predstavlja njegov ovlašteni zastupnik, </w:t>
      </w:r>
      <w:r w:rsidRPr="00345335">
        <w:rPr>
          <w:i/>
          <w:highlight w:val="lightGray"/>
        </w:rPr>
        <w:t>&lt;</w:t>
      </w:r>
      <w:r w:rsidR="004F4620" w:rsidRPr="00345335">
        <w:rPr>
          <w:b/>
          <w:i/>
          <w:highlight w:val="lightGray"/>
        </w:rPr>
        <w:t>Ime, Titula</w:t>
      </w:r>
      <w:r w:rsidRPr="00345335">
        <w:rPr>
          <w:b/>
          <w:i/>
          <w:highlight w:val="lightGray"/>
        </w:rPr>
        <w:t>&gt;</w:t>
      </w:r>
      <w:r w:rsidR="004F4620" w:rsidRPr="00345335">
        <w:rPr>
          <w:b/>
        </w:rPr>
        <w:t>,</w:t>
      </w:r>
      <w:r w:rsidR="004F4620" w:rsidRPr="00345335">
        <w:t xml:space="preserve"> dalje u tekstu </w:t>
      </w:r>
      <w:r w:rsidR="004F4620" w:rsidRPr="00345335">
        <w:rPr>
          <w:b/>
        </w:rPr>
        <w:t>Vodeći partner (LP)</w:t>
      </w:r>
      <w:r w:rsidR="004F4620" w:rsidRPr="00345335">
        <w:t xml:space="preserve"> i koja predstavlja partnere (na temelju Ugovora o partnerstvu) projekta.</w:t>
      </w:r>
    </w:p>
    <w:p w:rsidR="004F4620" w:rsidRPr="00345335" w:rsidRDefault="004F4620" w:rsidP="00345335">
      <w:pPr>
        <w:spacing w:after="0" w:line="240" w:lineRule="auto"/>
        <w:contextualSpacing/>
        <w:jc w:val="both"/>
        <w:rPr>
          <w:b/>
        </w:rPr>
      </w:pPr>
    </w:p>
    <w:p w:rsidR="00345335" w:rsidRDefault="00345335" w:rsidP="00345335">
      <w:pPr>
        <w:spacing w:after="0" w:line="240" w:lineRule="auto"/>
        <w:contextualSpacing/>
        <w:jc w:val="center"/>
        <w:rPr>
          <w:b/>
          <w:sz w:val="32"/>
          <w:szCs w:val="32"/>
        </w:rPr>
      </w:pPr>
    </w:p>
    <w:p w:rsidR="004F4620" w:rsidRPr="00345335" w:rsidRDefault="006605E4" w:rsidP="00345335">
      <w:pPr>
        <w:spacing w:after="0" w:line="240" w:lineRule="auto"/>
        <w:contextualSpacing/>
        <w:jc w:val="center"/>
        <w:rPr>
          <w:b/>
          <w:sz w:val="32"/>
          <w:szCs w:val="32"/>
        </w:rPr>
      </w:pPr>
      <w:r w:rsidRPr="00345335">
        <w:rPr>
          <w:b/>
          <w:sz w:val="32"/>
          <w:szCs w:val="32"/>
        </w:rPr>
        <w:t>EFRR</w:t>
      </w:r>
      <w:r w:rsidR="004F4620" w:rsidRPr="00345335">
        <w:rPr>
          <w:b/>
          <w:sz w:val="32"/>
          <w:szCs w:val="32"/>
        </w:rPr>
        <w:t xml:space="preserve">-OV UGOVOR O SUFINANCIRANJU BR... </w:t>
      </w:r>
    </w:p>
    <w:p w:rsidR="004F4620" w:rsidRPr="00345335" w:rsidRDefault="004F4620" w:rsidP="00345335">
      <w:pPr>
        <w:spacing w:after="0" w:line="240" w:lineRule="auto"/>
        <w:contextualSpacing/>
        <w:jc w:val="both"/>
        <w:rPr>
          <w:b/>
        </w:rPr>
      </w:pPr>
      <w:r w:rsidRPr="00345335">
        <w:rPr>
          <w:b/>
        </w:rPr>
        <w:br/>
      </w:r>
    </w:p>
    <w:p w:rsidR="004F4620" w:rsidRDefault="004F4620" w:rsidP="00345335">
      <w:pPr>
        <w:spacing w:after="0" w:line="240" w:lineRule="auto"/>
        <w:contextualSpacing/>
        <w:jc w:val="both"/>
      </w:pPr>
      <w:r w:rsidRPr="00345335">
        <w:t xml:space="preserve">Predmet ovog Ugovora jest zakonski obvezujući sporazum o provedbi i upravljanju </w:t>
      </w:r>
    </w:p>
    <w:p w:rsidR="00345335" w:rsidRPr="00345335" w:rsidRDefault="00345335" w:rsidP="00345335">
      <w:pPr>
        <w:spacing w:after="0" w:line="240" w:lineRule="auto"/>
        <w:contextualSpacing/>
        <w:jc w:val="both"/>
      </w:pPr>
    </w:p>
    <w:tbl>
      <w:tblPr>
        <w:tblStyle w:val="Tabelamrea"/>
        <w:tblW w:w="0" w:type="auto"/>
        <w:jc w:val="center"/>
        <w:tblLook w:val="00A0" w:firstRow="1" w:lastRow="0" w:firstColumn="1" w:lastColumn="0" w:noHBand="0" w:noVBand="0"/>
      </w:tblPr>
      <w:tblGrid>
        <w:gridCol w:w="2970"/>
        <w:gridCol w:w="6210"/>
      </w:tblGrid>
      <w:tr w:rsidR="00C13BB3" w:rsidRPr="00345335" w:rsidTr="00C13BB3">
        <w:trPr>
          <w:trHeight w:val="340"/>
          <w:jc w:val="center"/>
        </w:trPr>
        <w:tc>
          <w:tcPr>
            <w:tcW w:w="2970" w:type="dxa"/>
            <w:vAlign w:val="center"/>
          </w:tcPr>
          <w:p w:rsidR="00C13BB3" w:rsidRPr="00345335" w:rsidRDefault="00C13BB3" w:rsidP="00345335">
            <w:pPr>
              <w:contextualSpacing/>
              <w:jc w:val="both"/>
              <w:rPr>
                <w:b/>
              </w:rPr>
            </w:pPr>
            <w:r w:rsidRPr="00345335">
              <w:rPr>
                <w:b/>
              </w:rPr>
              <w:t>Naziv projekta:</w:t>
            </w:r>
          </w:p>
        </w:tc>
        <w:tc>
          <w:tcPr>
            <w:tcW w:w="6210" w:type="dxa"/>
            <w:vAlign w:val="bottom"/>
          </w:tcPr>
          <w:p w:rsidR="00C13BB3" w:rsidRPr="00345335" w:rsidRDefault="00C13BB3" w:rsidP="00345335">
            <w:pPr>
              <w:contextualSpacing/>
              <w:rPr>
                <w:i/>
                <w:highlight w:val="lightGray"/>
              </w:rPr>
            </w:pPr>
            <w:r w:rsidRPr="00345335">
              <w:rPr>
                <w:i/>
                <w:highlight w:val="lightGray"/>
              </w:rPr>
              <w:t>&lt;Naziv projekta&gt;</w:t>
            </w:r>
          </w:p>
        </w:tc>
      </w:tr>
      <w:tr w:rsidR="00C13BB3" w:rsidRPr="00345335" w:rsidTr="00C13BB3">
        <w:trPr>
          <w:trHeight w:val="340"/>
          <w:jc w:val="center"/>
        </w:trPr>
        <w:tc>
          <w:tcPr>
            <w:tcW w:w="2970" w:type="dxa"/>
            <w:vAlign w:val="center"/>
          </w:tcPr>
          <w:p w:rsidR="00C13BB3" w:rsidRPr="00345335" w:rsidRDefault="00C13BB3" w:rsidP="00345335">
            <w:pPr>
              <w:contextualSpacing/>
              <w:jc w:val="both"/>
            </w:pPr>
            <w:r w:rsidRPr="00345335">
              <w:t>Akronim projekta:</w:t>
            </w:r>
          </w:p>
        </w:tc>
        <w:tc>
          <w:tcPr>
            <w:tcW w:w="6210" w:type="dxa"/>
            <w:vAlign w:val="bottom"/>
          </w:tcPr>
          <w:p w:rsidR="00C13BB3" w:rsidRPr="00345335" w:rsidRDefault="00C13BB3" w:rsidP="00345335">
            <w:pPr>
              <w:contextualSpacing/>
              <w:rPr>
                <w:i/>
                <w:highlight w:val="lightGray"/>
              </w:rPr>
            </w:pPr>
            <w:r w:rsidRPr="00345335">
              <w:rPr>
                <w:i/>
                <w:highlight w:val="lightGray"/>
              </w:rPr>
              <w:t>&lt;Akronim projekta&gt;</w:t>
            </w:r>
          </w:p>
        </w:tc>
      </w:tr>
      <w:tr w:rsidR="00C13BB3" w:rsidRPr="00345335" w:rsidTr="00C13BB3">
        <w:trPr>
          <w:trHeight w:val="340"/>
          <w:jc w:val="center"/>
        </w:trPr>
        <w:tc>
          <w:tcPr>
            <w:tcW w:w="2970" w:type="dxa"/>
            <w:vAlign w:val="center"/>
          </w:tcPr>
          <w:p w:rsidR="00C13BB3" w:rsidRPr="00345335" w:rsidRDefault="00C13BB3" w:rsidP="00345335">
            <w:pPr>
              <w:contextualSpacing/>
              <w:jc w:val="both"/>
            </w:pPr>
            <w:r w:rsidRPr="00345335">
              <w:t>Broj projekta:</w:t>
            </w:r>
            <w:r w:rsidRPr="00345335">
              <w:tab/>
            </w:r>
          </w:p>
        </w:tc>
        <w:tc>
          <w:tcPr>
            <w:tcW w:w="6210" w:type="dxa"/>
            <w:vAlign w:val="bottom"/>
          </w:tcPr>
          <w:p w:rsidR="00C13BB3" w:rsidRPr="00345335" w:rsidRDefault="00C13BB3" w:rsidP="00345335">
            <w:pPr>
              <w:contextualSpacing/>
              <w:rPr>
                <w:i/>
                <w:highlight w:val="lightGray"/>
              </w:rPr>
            </w:pPr>
            <w:r w:rsidRPr="00345335">
              <w:rPr>
                <w:i/>
                <w:highlight w:val="lightGray"/>
              </w:rPr>
              <w:t>&lt;Broj&gt;</w:t>
            </w:r>
          </w:p>
        </w:tc>
      </w:tr>
      <w:tr w:rsidR="00C13BB3" w:rsidRPr="00345335" w:rsidTr="00C13BB3">
        <w:trPr>
          <w:trHeight w:val="340"/>
          <w:jc w:val="center"/>
        </w:trPr>
        <w:tc>
          <w:tcPr>
            <w:tcW w:w="2970" w:type="dxa"/>
            <w:vAlign w:val="center"/>
          </w:tcPr>
          <w:p w:rsidR="00C13BB3" w:rsidRPr="00345335" w:rsidRDefault="00C13BB3" w:rsidP="00345335">
            <w:pPr>
              <w:contextualSpacing/>
              <w:jc w:val="both"/>
            </w:pPr>
            <w:r w:rsidRPr="00345335">
              <w:t>Organizacija vodećeg partnera:</w:t>
            </w:r>
          </w:p>
        </w:tc>
        <w:tc>
          <w:tcPr>
            <w:tcW w:w="6210" w:type="dxa"/>
            <w:vAlign w:val="bottom"/>
          </w:tcPr>
          <w:p w:rsidR="00C13BB3" w:rsidRPr="00345335" w:rsidRDefault="00C13BB3" w:rsidP="00345335">
            <w:pPr>
              <w:contextualSpacing/>
              <w:rPr>
                <w:i/>
                <w:highlight w:val="lightGray"/>
              </w:rPr>
            </w:pPr>
            <w:r w:rsidRPr="00345335">
              <w:rPr>
                <w:i/>
                <w:highlight w:val="lightGray"/>
              </w:rPr>
              <w:t>&lt;Organizacija vodećeg partnera&gt;</w:t>
            </w:r>
          </w:p>
        </w:tc>
      </w:tr>
      <w:tr w:rsidR="00C13BB3" w:rsidRPr="00345335" w:rsidTr="00C13BB3">
        <w:trPr>
          <w:trHeight w:val="340"/>
          <w:jc w:val="center"/>
        </w:trPr>
        <w:tc>
          <w:tcPr>
            <w:tcW w:w="2970" w:type="dxa"/>
            <w:vAlign w:val="center"/>
          </w:tcPr>
          <w:p w:rsidR="00C13BB3" w:rsidRPr="00345335" w:rsidRDefault="00C13BB3" w:rsidP="00345335">
            <w:pPr>
              <w:contextualSpacing/>
              <w:jc w:val="both"/>
            </w:pPr>
            <w:r w:rsidRPr="00345335">
              <w:t>Prioritet:</w:t>
            </w:r>
          </w:p>
        </w:tc>
        <w:tc>
          <w:tcPr>
            <w:tcW w:w="6210" w:type="dxa"/>
            <w:vAlign w:val="bottom"/>
          </w:tcPr>
          <w:p w:rsidR="00C13BB3" w:rsidRPr="00345335" w:rsidRDefault="00C13BB3" w:rsidP="00345335">
            <w:pPr>
              <w:contextualSpacing/>
              <w:rPr>
                <w:i/>
                <w:highlight w:val="lightGray"/>
              </w:rPr>
            </w:pPr>
            <w:r w:rsidRPr="00345335">
              <w:rPr>
                <w:i/>
                <w:highlight w:val="lightGray"/>
              </w:rPr>
              <w:t>&lt;Prioritet&gt;</w:t>
            </w:r>
          </w:p>
        </w:tc>
      </w:tr>
      <w:tr w:rsidR="00C13BB3" w:rsidRPr="00345335" w:rsidTr="00C13BB3">
        <w:trPr>
          <w:trHeight w:val="340"/>
          <w:jc w:val="center"/>
        </w:trPr>
        <w:tc>
          <w:tcPr>
            <w:tcW w:w="2970" w:type="dxa"/>
            <w:vAlign w:val="center"/>
          </w:tcPr>
          <w:p w:rsidR="00C13BB3" w:rsidRPr="00345335" w:rsidRDefault="00C13BB3" w:rsidP="00345335">
            <w:pPr>
              <w:contextualSpacing/>
              <w:jc w:val="both"/>
            </w:pPr>
            <w:r w:rsidRPr="00345335">
              <w:t>Specifični cilj:</w:t>
            </w:r>
          </w:p>
        </w:tc>
        <w:tc>
          <w:tcPr>
            <w:tcW w:w="6210" w:type="dxa"/>
            <w:vAlign w:val="bottom"/>
          </w:tcPr>
          <w:p w:rsidR="00C13BB3" w:rsidRPr="00345335" w:rsidRDefault="00C13BB3" w:rsidP="00345335">
            <w:pPr>
              <w:contextualSpacing/>
              <w:rPr>
                <w:i/>
                <w:highlight w:val="lightGray"/>
              </w:rPr>
            </w:pPr>
            <w:r w:rsidRPr="00345335">
              <w:rPr>
                <w:i/>
                <w:highlight w:val="lightGray"/>
              </w:rPr>
              <w:t>&lt;Određeni Specifični cilj&gt;</w:t>
            </w:r>
          </w:p>
        </w:tc>
      </w:tr>
      <w:tr w:rsidR="00C13BB3" w:rsidRPr="00345335" w:rsidTr="00C13BB3">
        <w:trPr>
          <w:trHeight w:val="340"/>
          <w:jc w:val="center"/>
        </w:trPr>
        <w:tc>
          <w:tcPr>
            <w:tcW w:w="2970" w:type="dxa"/>
            <w:vAlign w:val="center"/>
          </w:tcPr>
          <w:p w:rsidR="00C13BB3" w:rsidRPr="00345335" w:rsidRDefault="00C13BB3" w:rsidP="00345335">
            <w:pPr>
              <w:contextualSpacing/>
              <w:jc w:val="both"/>
            </w:pPr>
            <w:r w:rsidRPr="00345335">
              <w:t>Odobreni datum početka:</w:t>
            </w:r>
          </w:p>
        </w:tc>
        <w:tc>
          <w:tcPr>
            <w:tcW w:w="6210" w:type="dxa"/>
            <w:vAlign w:val="bottom"/>
          </w:tcPr>
          <w:p w:rsidR="00C13BB3" w:rsidRPr="00345335" w:rsidRDefault="00C13BB3" w:rsidP="00345335">
            <w:pPr>
              <w:contextualSpacing/>
              <w:rPr>
                <w:i/>
                <w:highlight w:val="lightGray"/>
              </w:rPr>
            </w:pPr>
            <w:r w:rsidRPr="00345335">
              <w:rPr>
                <w:i/>
                <w:highlight w:val="lightGray"/>
              </w:rPr>
              <w:t>&lt;Datum&gt;</w:t>
            </w:r>
          </w:p>
        </w:tc>
      </w:tr>
      <w:tr w:rsidR="00C13BB3" w:rsidRPr="00345335" w:rsidTr="00C13BB3">
        <w:trPr>
          <w:trHeight w:val="340"/>
          <w:jc w:val="center"/>
        </w:trPr>
        <w:tc>
          <w:tcPr>
            <w:tcW w:w="2970" w:type="dxa"/>
            <w:vAlign w:val="center"/>
          </w:tcPr>
          <w:p w:rsidR="00C13BB3" w:rsidRPr="00345335" w:rsidRDefault="00C13BB3" w:rsidP="00345335">
            <w:pPr>
              <w:contextualSpacing/>
              <w:jc w:val="both"/>
            </w:pPr>
            <w:r w:rsidRPr="00345335">
              <w:t>Odobreni datum završetka:</w:t>
            </w:r>
          </w:p>
        </w:tc>
        <w:tc>
          <w:tcPr>
            <w:tcW w:w="6210" w:type="dxa"/>
            <w:vAlign w:val="bottom"/>
          </w:tcPr>
          <w:p w:rsidR="00C13BB3" w:rsidRPr="00345335" w:rsidRDefault="00C13BB3" w:rsidP="00345335">
            <w:pPr>
              <w:contextualSpacing/>
              <w:rPr>
                <w:i/>
                <w:highlight w:val="lightGray"/>
              </w:rPr>
            </w:pPr>
            <w:r w:rsidRPr="00345335">
              <w:rPr>
                <w:i/>
                <w:highlight w:val="lightGray"/>
              </w:rPr>
              <w:t>&lt;Datum&gt;</w:t>
            </w:r>
          </w:p>
        </w:tc>
      </w:tr>
    </w:tbl>
    <w:p w:rsidR="004F4620" w:rsidRPr="00345335" w:rsidRDefault="004F4620" w:rsidP="00345335">
      <w:pPr>
        <w:spacing w:after="0" w:line="240" w:lineRule="auto"/>
        <w:contextualSpacing/>
        <w:jc w:val="both"/>
      </w:pPr>
    </w:p>
    <w:p w:rsidR="004F4620" w:rsidRPr="00345335" w:rsidRDefault="004F4620" w:rsidP="00345335">
      <w:pPr>
        <w:spacing w:after="0" w:line="240" w:lineRule="auto"/>
        <w:contextualSpacing/>
        <w:jc w:val="both"/>
        <w:rPr>
          <w:b/>
        </w:rPr>
      </w:pPr>
    </w:p>
    <w:p w:rsidR="004F4620" w:rsidRPr="00345335" w:rsidRDefault="004F4620" w:rsidP="00345335">
      <w:pPr>
        <w:spacing w:after="0" w:line="240" w:lineRule="auto"/>
        <w:contextualSpacing/>
        <w:jc w:val="center"/>
        <w:rPr>
          <w:b/>
        </w:rPr>
      </w:pPr>
      <w:r w:rsidRPr="00345335">
        <w:rPr>
          <w:b/>
        </w:rPr>
        <w:t>Članak 1.</w:t>
      </w:r>
      <w:r w:rsidRPr="00345335">
        <w:rPr>
          <w:b/>
        </w:rPr>
        <w:br/>
        <w:t>Pravni okvir</w:t>
      </w:r>
    </w:p>
    <w:p w:rsidR="004F4620" w:rsidRPr="00345335" w:rsidRDefault="004F4620" w:rsidP="00345335">
      <w:pPr>
        <w:spacing w:after="0" w:line="240" w:lineRule="auto"/>
        <w:contextualSpacing/>
        <w:jc w:val="center"/>
        <w:rPr>
          <w:b/>
        </w:rPr>
      </w:pPr>
    </w:p>
    <w:p w:rsidR="00345335" w:rsidRPr="00345335" w:rsidRDefault="004F4620" w:rsidP="00345335">
      <w:pPr>
        <w:pStyle w:val="Odstavekseznama"/>
        <w:numPr>
          <w:ilvl w:val="0"/>
          <w:numId w:val="18"/>
        </w:numPr>
        <w:spacing w:after="120"/>
        <w:ind w:left="357" w:hanging="357"/>
        <w:contextualSpacing w:val="0"/>
        <w:jc w:val="both"/>
      </w:pPr>
      <w:r w:rsidRPr="00345335">
        <w:t>O</w:t>
      </w:r>
      <w:r w:rsidR="00345335">
        <w:t>vaj se Ugovor sklapa na temelju:</w:t>
      </w:r>
    </w:p>
    <w:p w:rsidR="004F4620" w:rsidRPr="00345335" w:rsidRDefault="004F4620" w:rsidP="00345335">
      <w:pPr>
        <w:pStyle w:val="Odstavekseznama"/>
        <w:numPr>
          <w:ilvl w:val="0"/>
          <w:numId w:val="1"/>
        </w:numPr>
        <w:spacing w:after="120"/>
        <w:ind w:left="714" w:hanging="357"/>
        <w:contextualSpacing w:val="0"/>
        <w:jc w:val="both"/>
      </w:pPr>
      <w:r w:rsidRPr="00345335">
        <w:t>Uredbe (EU) br. 1303/2013 Europskoga parlamenta i Vijeća od 17. prosinca 2013. (Službeni list Europske unije L 347/320, 20.12.2013.) koja se naziva "Uredbom CPR";</w:t>
      </w:r>
    </w:p>
    <w:p w:rsidR="004F4620" w:rsidRPr="00345335" w:rsidRDefault="004F4620" w:rsidP="00345335">
      <w:pPr>
        <w:pStyle w:val="Odstavekseznama"/>
        <w:numPr>
          <w:ilvl w:val="0"/>
          <w:numId w:val="1"/>
        </w:numPr>
        <w:spacing w:after="120"/>
        <w:ind w:left="714" w:hanging="357"/>
        <w:contextualSpacing w:val="0"/>
        <w:jc w:val="both"/>
      </w:pPr>
      <w:r w:rsidRPr="00345335">
        <w:t xml:space="preserve">Uredbe (EU) br. 1301/2013 Europskoga parlamenta i Vijeća od 17. prosinca 2013. (Službeni list Europske unije L 347/289, 20.12.2013.) koja se naziva "Uredbom </w:t>
      </w:r>
      <w:r w:rsidR="00D214EB" w:rsidRPr="00345335">
        <w:t>EFRR</w:t>
      </w:r>
      <w:r w:rsidRPr="00345335">
        <w:t>;</w:t>
      </w:r>
    </w:p>
    <w:p w:rsidR="004F4620" w:rsidRPr="00345335" w:rsidRDefault="004F4620" w:rsidP="00345335">
      <w:pPr>
        <w:pStyle w:val="Odstavekseznama"/>
        <w:numPr>
          <w:ilvl w:val="0"/>
          <w:numId w:val="1"/>
        </w:numPr>
        <w:spacing w:after="120"/>
        <w:ind w:left="714" w:hanging="357"/>
        <w:contextualSpacing w:val="0"/>
        <w:jc w:val="both"/>
      </w:pPr>
      <w:r w:rsidRPr="00345335">
        <w:t>Uredbe (EU) br. 1299/2013 Europskoga parlamenta i Vijeća od 17. prosinca 2013. (Službeni list Europske unije L 347/259, 20.12.2013.) koja se naziva "Uredbom ETC";</w:t>
      </w:r>
    </w:p>
    <w:p w:rsidR="004F4620" w:rsidRPr="00345335" w:rsidRDefault="004F4620" w:rsidP="00345335">
      <w:pPr>
        <w:pStyle w:val="Odstavekseznama"/>
        <w:numPr>
          <w:ilvl w:val="0"/>
          <w:numId w:val="1"/>
        </w:numPr>
        <w:spacing w:after="120"/>
        <w:ind w:left="714" w:hanging="357"/>
        <w:contextualSpacing w:val="0"/>
        <w:jc w:val="both"/>
      </w:pPr>
      <w:r w:rsidRPr="00345335">
        <w:t xml:space="preserve">nacionalnih pravila i pravila </w:t>
      </w:r>
      <w:r w:rsidR="005030E9" w:rsidRPr="00345335">
        <w:t xml:space="preserve">Unije </w:t>
      </w:r>
      <w:r w:rsidRPr="00345335">
        <w:t>o javnoj nabavi i ulasku na tržišta, zaštiti i okolišu, jednakim prilikama za muškarce i žene, državnim potporama/</w:t>
      </w:r>
      <w:proofErr w:type="spellStart"/>
      <w:r w:rsidR="005030E9" w:rsidRPr="00345335">
        <w:t>potporama</w:t>
      </w:r>
      <w:proofErr w:type="spellEnd"/>
      <w:r w:rsidR="005030E9" w:rsidRPr="00345335">
        <w:t xml:space="preserve"> male vrijednosti</w:t>
      </w:r>
      <w:r w:rsidRPr="00345335">
        <w:t xml:space="preserve"> te sprječavanju prijevare;</w:t>
      </w:r>
    </w:p>
    <w:p w:rsidR="004F4620" w:rsidRPr="00345335" w:rsidRDefault="00D214EB" w:rsidP="00345335">
      <w:pPr>
        <w:pStyle w:val="Odstavekseznama"/>
        <w:numPr>
          <w:ilvl w:val="0"/>
          <w:numId w:val="1"/>
        </w:numPr>
        <w:spacing w:after="120"/>
        <w:ind w:left="714" w:hanging="357"/>
        <w:contextualSpacing w:val="0"/>
        <w:jc w:val="both"/>
      </w:pPr>
      <w:r w:rsidRPr="00345335">
        <w:t>Programa suradnje</w:t>
      </w:r>
      <w:r w:rsidR="004F4620" w:rsidRPr="00345335">
        <w:t xml:space="preserve"> </w:t>
      </w:r>
      <w:proofErr w:type="spellStart"/>
      <w:r w:rsidR="004F4620" w:rsidRPr="00345335">
        <w:t>Interreg</w:t>
      </w:r>
      <w:proofErr w:type="spellEnd"/>
      <w:r w:rsidR="004F4620" w:rsidRPr="00345335">
        <w:t xml:space="preserve"> V-A Slovenija-Hrvatska, prema posljednjoj odobrenoj verziji;</w:t>
      </w:r>
    </w:p>
    <w:p w:rsidR="004F4620" w:rsidRPr="00345335" w:rsidRDefault="004F4620" w:rsidP="00345335">
      <w:pPr>
        <w:pStyle w:val="Odstavekseznama"/>
        <w:numPr>
          <w:ilvl w:val="0"/>
          <w:numId w:val="1"/>
        </w:numPr>
        <w:spacing w:after="120"/>
        <w:ind w:left="714" w:hanging="357"/>
        <w:contextualSpacing w:val="0"/>
        <w:jc w:val="both"/>
      </w:pPr>
      <w:r w:rsidRPr="00345335">
        <w:t xml:space="preserve">Otvorenog poziva </w:t>
      </w:r>
      <w:r w:rsidR="00D214EB" w:rsidRPr="00345335">
        <w:t xml:space="preserve">na </w:t>
      </w:r>
      <w:r w:rsidRPr="00345335">
        <w:t xml:space="preserve">dostavu </w:t>
      </w:r>
      <w:r w:rsidR="00D214EB" w:rsidRPr="00345335">
        <w:t xml:space="preserve">projektnih </w:t>
      </w:r>
      <w:r w:rsidRPr="00345335">
        <w:t>prijedloga;</w:t>
      </w:r>
    </w:p>
    <w:p w:rsidR="004F4620" w:rsidRPr="00345335" w:rsidRDefault="002B7A34" w:rsidP="00345335">
      <w:pPr>
        <w:pStyle w:val="Odstavekseznama"/>
        <w:numPr>
          <w:ilvl w:val="0"/>
          <w:numId w:val="1"/>
        </w:numPr>
        <w:spacing w:after="120"/>
        <w:ind w:left="714" w:hanging="357"/>
        <w:contextualSpacing w:val="0"/>
        <w:jc w:val="both"/>
      </w:pPr>
      <w:r w:rsidRPr="00345335">
        <w:lastRenderedPageBreak/>
        <w:t xml:space="preserve">Implementacijskog </w:t>
      </w:r>
      <w:r w:rsidR="004F4620" w:rsidRPr="00345335">
        <w:t xml:space="preserve">priručnika za korisnike potpora za </w:t>
      </w:r>
      <w:r w:rsidR="005030E9" w:rsidRPr="00345335">
        <w:t xml:space="preserve">Program suradnje </w:t>
      </w:r>
      <w:proofErr w:type="spellStart"/>
      <w:r w:rsidR="004F4620" w:rsidRPr="00345335">
        <w:t>Interreg</w:t>
      </w:r>
      <w:proofErr w:type="spellEnd"/>
      <w:r w:rsidR="004F4620" w:rsidRPr="00345335">
        <w:t xml:space="preserve"> V-A Slovenija-Hrvatska, prema posljednjoj odobrenoj verziji;</w:t>
      </w:r>
    </w:p>
    <w:p w:rsidR="004F4620" w:rsidRPr="00345335" w:rsidRDefault="004F4620" w:rsidP="00345335">
      <w:pPr>
        <w:pStyle w:val="Odstavekseznama"/>
        <w:numPr>
          <w:ilvl w:val="0"/>
          <w:numId w:val="1"/>
        </w:numPr>
        <w:spacing w:after="120"/>
        <w:ind w:left="714" w:hanging="357"/>
        <w:contextualSpacing w:val="0"/>
        <w:jc w:val="both"/>
      </w:pPr>
      <w:r w:rsidRPr="00345335">
        <w:t>odobrene (posljednje) verzije prijave, uključujući sve odobrene izmjene, kako su spremljene u informacijskom sustavu programa (e-MS);</w:t>
      </w:r>
    </w:p>
    <w:p w:rsidR="004F4620" w:rsidRPr="00345335" w:rsidRDefault="004F4620" w:rsidP="00345335">
      <w:pPr>
        <w:pStyle w:val="Odstavekseznama"/>
        <w:numPr>
          <w:ilvl w:val="0"/>
          <w:numId w:val="1"/>
        </w:numPr>
        <w:spacing w:after="120"/>
        <w:ind w:left="714" w:hanging="357"/>
        <w:contextualSpacing w:val="0"/>
        <w:jc w:val="both"/>
      </w:pPr>
      <w:r w:rsidRPr="00345335">
        <w:t xml:space="preserve">Odluke </w:t>
      </w:r>
      <w:r w:rsidR="005030E9" w:rsidRPr="00345335">
        <w:t xml:space="preserve">Odbora </w:t>
      </w:r>
      <w:r w:rsidR="00A34FA8">
        <w:t xml:space="preserve">za praćenje (dalje u tekstu </w:t>
      </w:r>
      <w:proofErr w:type="spellStart"/>
      <w:r w:rsidR="00A34FA8">
        <w:t>OzP</w:t>
      </w:r>
      <w:proofErr w:type="spellEnd"/>
      <w:r w:rsidRPr="00345335">
        <w:t>) o odobravanju projekta.</w:t>
      </w:r>
    </w:p>
    <w:p w:rsidR="004F4620" w:rsidRPr="00345335" w:rsidRDefault="004F4620" w:rsidP="00345335">
      <w:pPr>
        <w:spacing w:after="0" w:line="240" w:lineRule="auto"/>
        <w:contextualSpacing/>
        <w:jc w:val="center"/>
        <w:rPr>
          <w:b/>
        </w:rPr>
      </w:pPr>
    </w:p>
    <w:p w:rsidR="004F4620" w:rsidRPr="00345335" w:rsidRDefault="004F4620" w:rsidP="00345335">
      <w:pPr>
        <w:pStyle w:val="Odstavekseznama"/>
        <w:numPr>
          <w:ilvl w:val="0"/>
          <w:numId w:val="18"/>
        </w:numPr>
        <w:jc w:val="both"/>
      </w:pPr>
      <w:r w:rsidRPr="00345335">
        <w:t xml:space="preserve">Načela koja se trebaju primjenjivati, posebno </w:t>
      </w:r>
      <w:r w:rsidR="00A344BC" w:rsidRPr="00345335">
        <w:t>u slučaju EU regulative za određenu temu</w:t>
      </w:r>
      <w:r w:rsidRPr="00345335">
        <w:t xml:space="preserve">, </w:t>
      </w:r>
      <w:r w:rsidR="00A344BC" w:rsidRPr="00345335">
        <w:t>ona</w:t>
      </w:r>
      <w:r w:rsidR="00216D77" w:rsidRPr="00345335">
        <w:t xml:space="preserve"> </w:t>
      </w:r>
      <w:r w:rsidRPr="00345335">
        <w:t xml:space="preserve">imaju prednost. Program može postaviti specifična </w:t>
      </w:r>
      <w:r w:rsidR="00216D77" w:rsidRPr="00345335">
        <w:t>programska pravila navedena</w:t>
      </w:r>
      <w:r w:rsidRPr="00345335">
        <w:t xml:space="preserve"> u </w:t>
      </w:r>
      <w:r w:rsidR="00216D77" w:rsidRPr="00345335">
        <w:t xml:space="preserve">Implementacijskom </w:t>
      </w:r>
      <w:r w:rsidRPr="00345335">
        <w:t xml:space="preserve">priručniku za korisnike potpore. Ako ništa od navedenog ne </w:t>
      </w:r>
      <w:r w:rsidR="00A344BC" w:rsidRPr="00345335">
        <w:t>regulira</w:t>
      </w:r>
      <w:r w:rsidRPr="00345335">
        <w:t xml:space="preserve"> </w:t>
      </w:r>
      <w:r w:rsidR="00216D77" w:rsidRPr="00345335">
        <w:t>određenu temu</w:t>
      </w:r>
      <w:r w:rsidRPr="00345335">
        <w:t xml:space="preserve">, primjenjuju se nacionalna pravila. </w:t>
      </w:r>
    </w:p>
    <w:p w:rsidR="004F4620" w:rsidRPr="00345335" w:rsidRDefault="004F4620" w:rsidP="00345335">
      <w:pPr>
        <w:spacing w:after="0" w:line="240" w:lineRule="auto"/>
        <w:contextualSpacing/>
        <w:jc w:val="both"/>
      </w:pPr>
    </w:p>
    <w:p w:rsidR="00C13BB3" w:rsidRPr="00345335" w:rsidRDefault="00C13BB3" w:rsidP="00345335">
      <w:pPr>
        <w:spacing w:after="0" w:line="240" w:lineRule="auto"/>
        <w:contextualSpacing/>
        <w:jc w:val="both"/>
      </w:pPr>
    </w:p>
    <w:p w:rsidR="004F4620" w:rsidRPr="00345335" w:rsidRDefault="004F4620" w:rsidP="00345335">
      <w:pPr>
        <w:spacing w:after="0" w:line="240" w:lineRule="auto"/>
        <w:contextualSpacing/>
        <w:jc w:val="center"/>
        <w:rPr>
          <w:b/>
        </w:rPr>
      </w:pPr>
      <w:r w:rsidRPr="00345335">
        <w:rPr>
          <w:b/>
        </w:rPr>
        <w:t>Članak 2.</w:t>
      </w:r>
      <w:r w:rsidRPr="00345335">
        <w:rPr>
          <w:b/>
        </w:rPr>
        <w:br/>
        <w:t>Dodjela potpore</w:t>
      </w:r>
    </w:p>
    <w:p w:rsidR="004F4620" w:rsidRPr="00345335" w:rsidRDefault="00A34FA8" w:rsidP="00345335">
      <w:pPr>
        <w:pStyle w:val="Odstavekseznama"/>
        <w:numPr>
          <w:ilvl w:val="0"/>
          <w:numId w:val="7"/>
        </w:numPr>
        <w:ind w:left="360"/>
        <w:jc w:val="both"/>
      </w:pPr>
      <w:r>
        <w:t>OZP</w:t>
      </w:r>
      <w:r w:rsidR="004F4620" w:rsidRPr="00345335">
        <w:t xml:space="preserve"> je odobrio projekt </w:t>
      </w:r>
      <w:r w:rsidR="00C13BB3" w:rsidRPr="00345335">
        <w:rPr>
          <w:i/>
          <w:highlight w:val="lightGray"/>
        </w:rPr>
        <w:t>&lt;Naziv projekta&gt;</w:t>
      </w:r>
      <w:r w:rsidR="004F4620" w:rsidRPr="00345335">
        <w:t xml:space="preserve"> </w:t>
      </w:r>
      <w:r w:rsidR="00216D77" w:rsidRPr="00345335">
        <w:t xml:space="preserve">na dan </w:t>
      </w:r>
      <w:r w:rsidR="00C13BB3" w:rsidRPr="00345335">
        <w:rPr>
          <w:i/>
          <w:highlight w:val="lightGray"/>
        </w:rPr>
        <w:t>&lt;</w:t>
      </w:r>
      <w:r w:rsidR="004F4620" w:rsidRPr="00345335">
        <w:rPr>
          <w:i/>
          <w:highlight w:val="lightGray"/>
        </w:rPr>
        <w:t>dat</w:t>
      </w:r>
      <w:r w:rsidR="006E7342" w:rsidRPr="00345335">
        <w:rPr>
          <w:i/>
          <w:highlight w:val="lightGray"/>
        </w:rPr>
        <w:t>um</w:t>
      </w:r>
      <w:r w:rsidR="00C13BB3" w:rsidRPr="00345335">
        <w:rPr>
          <w:i/>
          <w:highlight w:val="lightGray"/>
        </w:rPr>
        <w:t>&gt;</w:t>
      </w:r>
      <w:r w:rsidR="004F4620" w:rsidRPr="00345335">
        <w:rPr>
          <w:i/>
        </w:rPr>
        <w:t>.</w:t>
      </w:r>
      <w:r w:rsidR="004F4620" w:rsidRPr="00345335">
        <w:t xml:space="preserve"> Odluka </w:t>
      </w:r>
      <w:r>
        <w:t>OZP</w:t>
      </w:r>
      <w:r w:rsidR="004F4620" w:rsidRPr="00345335">
        <w:t xml:space="preserve">-a temelji se na kriterijima koji su navedeni u </w:t>
      </w:r>
      <w:r w:rsidR="00A344BC" w:rsidRPr="00345335">
        <w:t xml:space="preserve">Implementacijskom </w:t>
      </w:r>
      <w:r w:rsidR="004F4620" w:rsidRPr="00345335">
        <w:t xml:space="preserve">priručniku za korisnike potpore i koje je odobrio </w:t>
      </w:r>
      <w:r>
        <w:t>OZP</w:t>
      </w:r>
      <w:r w:rsidR="004F4620" w:rsidRPr="00345335">
        <w:t xml:space="preserve">. Ako je </w:t>
      </w:r>
      <w:r>
        <w:t>OZP</w:t>
      </w:r>
      <w:r w:rsidR="004F4620" w:rsidRPr="00345335">
        <w:t xml:space="preserve"> uspostavio posebne uvjete, oni se moraju ispuniti. </w:t>
      </w:r>
    </w:p>
    <w:p w:rsidR="004F4620" w:rsidRPr="00345335" w:rsidRDefault="004F4620" w:rsidP="00345335">
      <w:pPr>
        <w:spacing w:after="0" w:line="240" w:lineRule="auto"/>
        <w:contextualSpacing/>
        <w:jc w:val="both"/>
      </w:pPr>
    </w:p>
    <w:p w:rsidR="004F4620" w:rsidRPr="00345335" w:rsidRDefault="004F4620" w:rsidP="00345335">
      <w:pPr>
        <w:pStyle w:val="Odstavekseznama"/>
        <w:numPr>
          <w:ilvl w:val="0"/>
          <w:numId w:val="7"/>
        </w:numPr>
        <w:ind w:left="360"/>
        <w:jc w:val="both"/>
      </w:pPr>
      <w:r w:rsidRPr="00345335">
        <w:t>Na temelj</w:t>
      </w:r>
      <w:r w:rsidR="006E7342" w:rsidRPr="00345335">
        <w:t>u</w:t>
      </w:r>
      <w:r w:rsidRPr="00345335">
        <w:t xml:space="preserve"> odluke </w:t>
      </w:r>
      <w:r w:rsidR="00A34FA8">
        <w:t>OZP</w:t>
      </w:r>
      <w:r w:rsidRPr="00345335">
        <w:t xml:space="preserve">-a, </w:t>
      </w:r>
      <w:r w:rsidR="00A344BC" w:rsidRPr="00345335">
        <w:t xml:space="preserve">Upravljačko tijelo </w:t>
      </w:r>
      <w:r w:rsidRPr="00345335">
        <w:t xml:space="preserve">dodjeljuje </w:t>
      </w:r>
      <w:r w:rsidR="00A344BC" w:rsidRPr="00345335">
        <w:t xml:space="preserve">potporu </w:t>
      </w:r>
      <w:r w:rsidRPr="00345335">
        <w:t xml:space="preserve">od </w:t>
      </w:r>
      <w:r w:rsidR="00C13BB3" w:rsidRPr="00A34FA8">
        <w:rPr>
          <w:i/>
          <w:highlight w:val="lightGray"/>
        </w:rPr>
        <w:t>&lt;</w:t>
      </w:r>
      <w:r w:rsidRPr="00A34FA8">
        <w:rPr>
          <w:i/>
          <w:highlight w:val="lightGray"/>
        </w:rPr>
        <w:t>ukupno</w:t>
      </w:r>
      <w:r w:rsidR="00C13BB3" w:rsidRPr="00A34FA8">
        <w:rPr>
          <w:i/>
          <w:highlight w:val="lightGray"/>
        </w:rPr>
        <w:t>&gt;</w:t>
      </w:r>
      <w:r w:rsidRPr="00345335">
        <w:t xml:space="preserve"> EUR organizaciji </w:t>
      </w:r>
      <w:r w:rsidR="00A344BC" w:rsidRPr="00345335">
        <w:t xml:space="preserve">Vodećeg </w:t>
      </w:r>
      <w:r w:rsidRPr="00345335">
        <w:t xml:space="preserve">partnera u projektu iz </w:t>
      </w:r>
      <w:r w:rsidR="00A344BC" w:rsidRPr="00345335">
        <w:t>EFRR</w:t>
      </w:r>
      <w:r w:rsidRPr="00345335">
        <w:t>-</w:t>
      </w:r>
      <w:r w:rsidR="00A344BC" w:rsidRPr="00345335">
        <w:t xml:space="preserve">ovog </w:t>
      </w:r>
      <w:r w:rsidRPr="00345335">
        <w:t>fonda.</w:t>
      </w:r>
    </w:p>
    <w:p w:rsidR="004F4620" w:rsidRPr="00345335" w:rsidRDefault="004F4620" w:rsidP="00345335">
      <w:pPr>
        <w:spacing w:after="0" w:line="240" w:lineRule="auto"/>
        <w:contextualSpacing/>
        <w:jc w:val="both"/>
      </w:pPr>
    </w:p>
    <w:p w:rsidR="004F4620" w:rsidRPr="00345335" w:rsidRDefault="004F4620" w:rsidP="00345335">
      <w:pPr>
        <w:pStyle w:val="Odstavekseznama"/>
        <w:numPr>
          <w:ilvl w:val="0"/>
          <w:numId w:val="7"/>
        </w:numPr>
        <w:ind w:left="360"/>
        <w:jc w:val="both"/>
        <w:rPr>
          <w:b/>
        </w:rPr>
      </w:pPr>
      <w:r w:rsidRPr="00345335">
        <w:rPr>
          <w:b/>
        </w:rPr>
        <w:t>Ukupni odobreni proračun (EUR)</w:t>
      </w:r>
    </w:p>
    <w:p w:rsidR="004F4620" w:rsidRPr="00345335" w:rsidRDefault="004F4620" w:rsidP="00345335">
      <w:pPr>
        <w:spacing w:line="240" w:lineRule="auto"/>
        <w:contextualSpacing/>
        <w:jc w:val="both"/>
        <w:rPr>
          <w:b/>
        </w:rPr>
      </w:pPr>
    </w:p>
    <w:tbl>
      <w:tblPr>
        <w:tblW w:w="0" w:type="auto"/>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357"/>
        <w:gridCol w:w="2552"/>
      </w:tblGrid>
      <w:tr w:rsidR="004F4620" w:rsidRPr="00345335" w:rsidTr="002760F9">
        <w:trPr>
          <w:trHeight w:val="340"/>
        </w:trPr>
        <w:tc>
          <w:tcPr>
            <w:tcW w:w="5357" w:type="dxa"/>
            <w:vAlign w:val="center"/>
          </w:tcPr>
          <w:p w:rsidR="004F4620" w:rsidRPr="00345335" w:rsidRDefault="004F4620" w:rsidP="00345335">
            <w:pPr>
              <w:spacing w:after="0" w:line="240" w:lineRule="auto"/>
              <w:contextualSpacing/>
              <w:jc w:val="both"/>
            </w:pPr>
            <w:r w:rsidRPr="00345335">
              <w:t>Troškovi za osoblje</w:t>
            </w:r>
          </w:p>
        </w:tc>
        <w:tc>
          <w:tcPr>
            <w:tcW w:w="2552" w:type="dxa"/>
            <w:vAlign w:val="center"/>
          </w:tcPr>
          <w:p w:rsidR="004F4620" w:rsidRPr="00345335" w:rsidRDefault="004F4620" w:rsidP="00345335">
            <w:pPr>
              <w:spacing w:after="0" w:line="240" w:lineRule="auto"/>
              <w:contextualSpacing/>
              <w:jc w:val="both"/>
              <w:rPr>
                <w:highlight w:val="lightGray"/>
              </w:rPr>
            </w:pPr>
            <w:r w:rsidRPr="00345335">
              <w:rPr>
                <w:highlight w:val="lightGray"/>
              </w:rPr>
              <w:t>EUR</w:t>
            </w:r>
          </w:p>
        </w:tc>
      </w:tr>
      <w:tr w:rsidR="004F4620" w:rsidRPr="00345335" w:rsidTr="002760F9">
        <w:trPr>
          <w:trHeight w:val="340"/>
        </w:trPr>
        <w:tc>
          <w:tcPr>
            <w:tcW w:w="5357" w:type="dxa"/>
            <w:vAlign w:val="center"/>
          </w:tcPr>
          <w:p w:rsidR="004F4620" w:rsidRPr="00345335" w:rsidRDefault="004F4620" w:rsidP="00345335">
            <w:pPr>
              <w:spacing w:after="0" w:line="240" w:lineRule="auto"/>
              <w:contextualSpacing/>
              <w:jc w:val="both"/>
            </w:pPr>
            <w:r w:rsidRPr="00345335">
              <w:t xml:space="preserve">Uredski i administrativni troškovi </w:t>
            </w:r>
          </w:p>
        </w:tc>
        <w:tc>
          <w:tcPr>
            <w:tcW w:w="2552" w:type="dxa"/>
            <w:vAlign w:val="center"/>
          </w:tcPr>
          <w:p w:rsidR="004F4620" w:rsidRPr="00345335" w:rsidRDefault="004F4620" w:rsidP="00345335">
            <w:pPr>
              <w:spacing w:after="0" w:line="240" w:lineRule="auto"/>
              <w:contextualSpacing/>
              <w:jc w:val="both"/>
              <w:rPr>
                <w:highlight w:val="lightGray"/>
              </w:rPr>
            </w:pPr>
            <w:r w:rsidRPr="00345335">
              <w:rPr>
                <w:highlight w:val="lightGray"/>
              </w:rPr>
              <w:t>EUR</w:t>
            </w:r>
          </w:p>
        </w:tc>
      </w:tr>
      <w:tr w:rsidR="004F4620" w:rsidRPr="00345335" w:rsidTr="002760F9">
        <w:trPr>
          <w:trHeight w:val="340"/>
        </w:trPr>
        <w:tc>
          <w:tcPr>
            <w:tcW w:w="5357" w:type="dxa"/>
            <w:vAlign w:val="center"/>
          </w:tcPr>
          <w:p w:rsidR="004F4620" w:rsidRPr="00345335" w:rsidRDefault="004F4620" w:rsidP="00345335">
            <w:pPr>
              <w:spacing w:after="0" w:line="240" w:lineRule="auto"/>
              <w:contextualSpacing/>
              <w:jc w:val="both"/>
            </w:pPr>
            <w:r w:rsidRPr="00345335">
              <w:t>Troškovi za putovanje i smještaj</w:t>
            </w:r>
          </w:p>
        </w:tc>
        <w:tc>
          <w:tcPr>
            <w:tcW w:w="2552" w:type="dxa"/>
            <w:vAlign w:val="center"/>
          </w:tcPr>
          <w:p w:rsidR="004F4620" w:rsidRPr="00345335" w:rsidRDefault="004F4620" w:rsidP="00345335">
            <w:pPr>
              <w:spacing w:after="0" w:line="240" w:lineRule="auto"/>
              <w:contextualSpacing/>
              <w:jc w:val="both"/>
              <w:rPr>
                <w:highlight w:val="lightGray"/>
              </w:rPr>
            </w:pPr>
            <w:r w:rsidRPr="00345335">
              <w:rPr>
                <w:highlight w:val="lightGray"/>
              </w:rPr>
              <w:t>EUR</w:t>
            </w:r>
          </w:p>
        </w:tc>
      </w:tr>
      <w:tr w:rsidR="004F4620" w:rsidRPr="00345335" w:rsidTr="002760F9">
        <w:trPr>
          <w:trHeight w:val="340"/>
        </w:trPr>
        <w:tc>
          <w:tcPr>
            <w:tcW w:w="5357" w:type="dxa"/>
            <w:vAlign w:val="center"/>
          </w:tcPr>
          <w:p w:rsidR="004F4620" w:rsidRPr="00345335" w:rsidRDefault="004F4620" w:rsidP="00345335">
            <w:pPr>
              <w:spacing w:after="0" w:line="240" w:lineRule="auto"/>
              <w:contextualSpacing/>
              <w:jc w:val="both"/>
            </w:pPr>
            <w:r w:rsidRPr="00345335">
              <w:t>Troškovi za vanjske stručne usluge</w:t>
            </w:r>
          </w:p>
        </w:tc>
        <w:tc>
          <w:tcPr>
            <w:tcW w:w="2552" w:type="dxa"/>
            <w:vAlign w:val="center"/>
          </w:tcPr>
          <w:p w:rsidR="004F4620" w:rsidRPr="00345335" w:rsidRDefault="004F4620" w:rsidP="00345335">
            <w:pPr>
              <w:spacing w:after="0" w:line="240" w:lineRule="auto"/>
              <w:contextualSpacing/>
              <w:jc w:val="both"/>
              <w:rPr>
                <w:highlight w:val="lightGray"/>
              </w:rPr>
            </w:pPr>
            <w:r w:rsidRPr="00345335">
              <w:rPr>
                <w:highlight w:val="lightGray"/>
              </w:rPr>
              <w:t>EUR</w:t>
            </w:r>
          </w:p>
        </w:tc>
      </w:tr>
      <w:tr w:rsidR="004F4620" w:rsidRPr="00345335" w:rsidTr="002760F9">
        <w:trPr>
          <w:trHeight w:val="340"/>
        </w:trPr>
        <w:tc>
          <w:tcPr>
            <w:tcW w:w="5357" w:type="dxa"/>
            <w:vAlign w:val="center"/>
          </w:tcPr>
          <w:p w:rsidR="004F4620" w:rsidRPr="00345335" w:rsidRDefault="004F4620" w:rsidP="00345335">
            <w:pPr>
              <w:spacing w:after="0" w:line="240" w:lineRule="auto"/>
              <w:contextualSpacing/>
              <w:jc w:val="both"/>
            </w:pPr>
            <w:r w:rsidRPr="00345335">
              <w:t>Troškovi za opremu</w:t>
            </w:r>
          </w:p>
        </w:tc>
        <w:tc>
          <w:tcPr>
            <w:tcW w:w="2552" w:type="dxa"/>
            <w:vAlign w:val="center"/>
          </w:tcPr>
          <w:p w:rsidR="004F4620" w:rsidRPr="00345335" w:rsidRDefault="004F4620" w:rsidP="00345335">
            <w:pPr>
              <w:spacing w:after="0" w:line="240" w:lineRule="auto"/>
              <w:contextualSpacing/>
              <w:jc w:val="both"/>
              <w:rPr>
                <w:highlight w:val="lightGray"/>
              </w:rPr>
            </w:pPr>
            <w:r w:rsidRPr="00345335">
              <w:rPr>
                <w:highlight w:val="lightGray"/>
              </w:rPr>
              <w:t>EUR</w:t>
            </w:r>
          </w:p>
        </w:tc>
      </w:tr>
      <w:tr w:rsidR="004F4620" w:rsidRPr="00345335" w:rsidTr="002760F9">
        <w:trPr>
          <w:trHeight w:val="340"/>
        </w:trPr>
        <w:tc>
          <w:tcPr>
            <w:tcW w:w="5357" w:type="dxa"/>
            <w:vAlign w:val="center"/>
          </w:tcPr>
          <w:p w:rsidR="004F4620" w:rsidRPr="00345335" w:rsidRDefault="004F4620" w:rsidP="00345335">
            <w:pPr>
              <w:spacing w:after="0" w:line="240" w:lineRule="auto"/>
              <w:contextualSpacing/>
              <w:jc w:val="both"/>
            </w:pPr>
            <w:r w:rsidRPr="00345335">
              <w:t>Troškovi za infrastrukturu i radove</w:t>
            </w:r>
          </w:p>
        </w:tc>
        <w:tc>
          <w:tcPr>
            <w:tcW w:w="2552" w:type="dxa"/>
            <w:vAlign w:val="center"/>
          </w:tcPr>
          <w:p w:rsidR="004F4620" w:rsidRPr="00345335" w:rsidRDefault="004F4620" w:rsidP="00345335">
            <w:pPr>
              <w:spacing w:after="0" w:line="240" w:lineRule="auto"/>
              <w:contextualSpacing/>
              <w:jc w:val="both"/>
              <w:rPr>
                <w:highlight w:val="lightGray"/>
              </w:rPr>
            </w:pPr>
            <w:r w:rsidRPr="00345335">
              <w:rPr>
                <w:highlight w:val="lightGray"/>
              </w:rPr>
              <w:t>EUR</w:t>
            </w:r>
          </w:p>
        </w:tc>
      </w:tr>
      <w:tr w:rsidR="004F4620" w:rsidRPr="00345335" w:rsidTr="002760F9">
        <w:trPr>
          <w:trHeight w:val="340"/>
        </w:trPr>
        <w:tc>
          <w:tcPr>
            <w:tcW w:w="5357" w:type="dxa"/>
            <w:vAlign w:val="center"/>
          </w:tcPr>
          <w:p w:rsidR="004F4620" w:rsidRPr="00345335" w:rsidRDefault="004F4620" w:rsidP="00345335">
            <w:pPr>
              <w:spacing w:after="0" w:line="240" w:lineRule="auto"/>
              <w:contextualSpacing/>
              <w:jc w:val="both"/>
              <w:rPr>
                <w:b/>
              </w:rPr>
            </w:pPr>
            <w:r w:rsidRPr="00345335">
              <w:rPr>
                <w:b/>
              </w:rPr>
              <w:t>UKUPNO</w:t>
            </w:r>
          </w:p>
        </w:tc>
        <w:tc>
          <w:tcPr>
            <w:tcW w:w="2552" w:type="dxa"/>
            <w:vAlign w:val="center"/>
          </w:tcPr>
          <w:p w:rsidR="004F4620" w:rsidRPr="00345335" w:rsidRDefault="004F4620" w:rsidP="00345335">
            <w:pPr>
              <w:spacing w:after="0" w:line="240" w:lineRule="auto"/>
              <w:contextualSpacing/>
              <w:jc w:val="both"/>
              <w:rPr>
                <w:highlight w:val="lightGray"/>
              </w:rPr>
            </w:pPr>
            <w:r w:rsidRPr="00345335">
              <w:rPr>
                <w:highlight w:val="lightGray"/>
              </w:rPr>
              <w:t>EUR</w:t>
            </w:r>
          </w:p>
        </w:tc>
      </w:tr>
      <w:tr w:rsidR="004F4620" w:rsidRPr="00345335" w:rsidTr="002760F9">
        <w:trPr>
          <w:trHeight w:val="340"/>
        </w:trPr>
        <w:tc>
          <w:tcPr>
            <w:tcW w:w="5357" w:type="dxa"/>
            <w:vAlign w:val="center"/>
          </w:tcPr>
          <w:p w:rsidR="004F4620" w:rsidRPr="00345335" w:rsidRDefault="00A34FA8" w:rsidP="00345335">
            <w:pPr>
              <w:spacing w:after="0" w:line="240" w:lineRule="auto"/>
              <w:contextualSpacing/>
              <w:jc w:val="both"/>
              <w:rPr>
                <w:b/>
              </w:rPr>
            </w:pPr>
            <w:r>
              <w:rPr>
                <w:b/>
              </w:rPr>
              <w:t>Prihod</w:t>
            </w:r>
          </w:p>
        </w:tc>
        <w:tc>
          <w:tcPr>
            <w:tcW w:w="2552" w:type="dxa"/>
            <w:vAlign w:val="center"/>
          </w:tcPr>
          <w:p w:rsidR="004F4620" w:rsidRPr="00345335" w:rsidRDefault="004F4620" w:rsidP="00345335">
            <w:pPr>
              <w:spacing w:after="0" w:line="240" w:lineRule="auto"/>
              <w:contextualSpacing/>
              <w:jc w:val="both"/>
              <w:rPr>
                <w:highlight w:val="lightGray"/>
              </w:rPr>
            </w:pPr>
            <w:r w:rsidRPr="00345335">
              <w:rPr>
                <w:highlight w:val="lightGray"/>
              </w:rPr>
              <w:t>EUR</w:t>
            </w:r>
          </w:p>
        </w:tc>
      </w:tr>
      <w:tr w:rsidR="004F4620" w:rsidRPr="00345335" w:rsidTr="002760F9">
        <w:trPr>
          <w:trHeight w:val="340"/>
        </w:trPr>
        <w:tc>
          <w:tcPr>
            <w:tcW w:w="5357" w:type="dxa"/>
            <w:vAlign w:val="center"/>
          </w:tcPr>
          <w:p w:rsidR="004F4620" w:rsidRPr="00345335" w:rsidRDefault="004F4620" w:rsidP="00345335">
            <w:pPr>
              <w:spacing w:after="0" w:line="240" w:lineRule="auto"/>
              <w:contextualSpacing/>
              <w:jc w:val="both"/>
            </w:pPr>
            <w:r w:rsidRPr="00345335">
              <w:rPr>
                <w:b/>
              </w:rPr>
              <w:t>UKUPNI NETO TROŠKOVI</w:t>
            </w:r>
          </w:p>
        </w:tc>
        <w:tc>
          <w:tcPr>
            <w:tcW w:w="2552" w:type="dxa"/>
            <w:vAlign w:val="center"/>
          </w:tcPr>
          <w:p w:rsidR="004F4620" w:rsidRPr="00345335" w:rsidRDefault="004F4620" w:rsidP="00345335">
            <w:pPr>
              <w:spacing w:after="0" w:line="240" w:lineRule="auto"/>
              <w:contextualSpacing/>
              <w:jc w:val="both"/>
              <w:rPr>
                <w:highlight w:val="lightGray"/>
              </w:rPr>
            </w:pPr>
            <w:r w:rsidRPr="00345335">
              <w:rPr>
                <w:highlight w:val="lightGray"/>
              </w:rPr>
              <w:t>EUR</w:t>
            </w:r>
          </w:p>
        </w:tc>
      </w:tr>
    </w:tbl>
    <w:p w:rsidR="004F4620" w:rsidRPr="00345335" w:rsidRDefault="004F4620" w:rsidP="00345335">
      <w:pPr>
        <w:spacing w:line="240" w:lineRule="auto"/>
        <w:contextualSpacing/>
        <w:jc w:val="both"/>
        <w:rPr>
          <w:b/>
        </w:rPr>
      </w:pPr>
    </w:p>
    <w:p w:rsidR="004F4620" w:rsidRDefault="004F4620" w:rsidP="00345335">
      <w:pPr>
        <w:pStyle w:val="Odstavekseznama"/>
        <w:numPr>
          <w:ilvl w:val="0"/>
          <w:numId w:val="7"/>
        </w:numPr>
        <w:ind w:left="360"/>
        <w:jc w:val="both"/>
        <w:rPr>
          <w:b/>
        </w:rPr>
      </w:pPr>
      <w:r w:rsidRPr="00345335">
        <w:rPr>
          <w:b/>
        </w:rPr>
        <w:t xml:space="preserve">Odobreni financijski plan i </w:t>
      </w:r>
      <w:r w:rsidR="004B61F4" w:rsidRPr="00345335">
        <w:rPr>
          <w:b/>
        </w:rPr>
        <w:t>EFRR</w:t>
      </w:r>
      <w:r w:rsidRPr="00345335">
        <w:rPr>
          <w:b/>
        </w:rPr>
        <w:t>-ova potpora (EUR)</w:t>
      </w:r>
    </w:p>
    <w:p w:rsidR="00345335" w:rsidRPr="00345335" w:rsidRDefault="00345335" w:rsidP="00345335">
      <w:pPr>
        <w:pStyle w:val="Odstavekseznama"/>
        <w:ind w:left="360"/>
        <w:jc w:val="both"/>
        <w:rPr>
          <w:b/>
        </w:rPr>
      </w:pPr>
    </w:p>
    <w:tbl>
      <w:tblPr>
        <w:tblW w:w="0" w:type="auto"/>
        <w:tblInd w:w="4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307"/>
        <w:gridCol w:w="2552"/>
      </w:tblGrid>
      <w:tr w:rsidR="004F4620" w:rsidRPr="00345335" w:rsidTr="002760F9">
        <w:trPr>
          <w:trHeight w:val="510"/>
        </w:trPr>
        <w:tc>
          <w:tcPr>
            <w:tcW w:w="5307" w:type="dxa"/>
            <w:vAlign w:val="center"/>
          </w:tcPr>
          <w:p w:rsidR="004F4620" w:rsidRPr="00345335" w:rsidRDefault="004F4620" w:rsidP="00345335">
            <w:pPr>
              <w:spacing w:after="0" w:line="240" w:lineRule="auto"/>
              <w:jc w:val="both"/>
            </w:pPr>
            <w:r w:rsidRPr="00345335">
              <w:t xml:space="preserve">Odobrena </w:t>
            </w:r>
            <w:r w:rsidR="004B61F4" w:rsidRPr="00345335">
              <w:t>EFRR</w:t>
            </w:r>
            <w:r w:rsidRPr="00345335">
              <w:t xml:space="preserve">-ova potpora </w:t>
            </w:r>
          </w:p>
          <w:p w:rsidR="004F4620" w:rsidRPr="00345335" w:rsidRDefault="004F4620" w:rsidP="00345335">
            <w:pPr>
              <w:spacing w:after="0" w:line="240" w:lineRule="auto"/>
              <w:jc w:val="both"/>
            </w:pPr>
            <w:r w:rsidRPr="00345335">
              <w:t>(maksimalni iznos)</w:t>
            </w:r>
          </w:p>
        </w:tc>
        <w:tc>
          <w:tcPr>
            <w:tcW w:w="2552" w:type="dxa"/>
            <w:vAlign w:val="center"/>
          </w:tcPr>
          <w:p w:rsidR="004F4620" w:rsidRPr="00345335" w:rsidRDefault="004F4620" w:rsidP="00345335">
            <w:pPr>
              <w:spacing w:after="0" w:line="240" w:lineRule="auto"/>
              <w:jc w:val="both"/>
              <w:rPr>
                <w:highlight w:val="lightGray"/>
              </w:rPr>
            </w:pPr>
            <w:r w:rsidRPr="00345335">
              <w:rPr>
                <w:highlight w:val="lightGray"/>
              </w:rPr>
              <w:t>EUR</w:t>
            </w:r>
          </w:p>
        </w:tc>
      </w:tr>
      <w:tr w:rsidR="004F4620" w:rsidRPr="00345335" w:rsidTr="002760F9">
        <w:trPr>
          <w:trHeight w:val="510"/>
        </w:trPr>
        <w:tc>
          <w:tcPr>
            <w:tcW w:w="5307" w:type="dxa"/>
            <w:vAlign w:val="center"/>
          </w:tcPr>
          <w:p w:rsidR="004F4620" w:rsidRPr="00345335" w:rsidRDefault="004F4620" w:rsidP="00345335">
            <w:pPr>
              <w:spacing w:after="0" w:line="240" w:lineRule="auto"/>
              <w:jc w:val="both"/>
            </w:pPr>
            <w:r w:rsidRPr="00345335">
              <w:t xml:space="preserve">Nacionalna javna potpora </w:t>
            </w:r>
          </w:p>
          <w:p w:rsidR="004F4620" w:rsidRPr="00345335" w:rsidRDefault="004F4620" w:rsidP="00345335">
            <w:pPr>
              <w:spacing w:after="0" w:line="240" w:lineRule="auto"/>
              <w:jc w:val="both"/>
            </w:pPr>
            <w:r w:rsidRPr="00345335">
              <w:t>(maksimalni iznos)</w:t>
            </w:r>
          </w:p>
        </w:tc>
        <w:tc>
          <w:tcPr>
            <w:tcW w:w="2552" w:type="dxa"/>
            <w:vAlign w:val="center"/>
          </w:tcPr>
          <w:p w:rsidR="004F4620" w:rsidRPr="00345335" w:rsidRDefault="004F4620" w:rsidP="00345335">
            <w:pPr>
              <w:spacing w:before="120" w:after="0" w:line="240" w:lineRule="auto"/>
              <w:jc w:val="both"/>
              <w:rPr>
                <w:highlight w:val="lightGray"/>
              </w:rPr>
            </w:pPr>
            <w:r w:rsidRPr="00345335">
              <w:rPr>
                <w:highlight w:val="lightGray"/>
              </w:rPr>
              <w:t>EUR</w:t>
            </w:r>
          </w:p>
        </w:tc>
      </w:tr>
      <w:tr w:rsidR="004F4620" w:rsidRPr="00345335" w:rsidTr="002760F9">
        <w:trPr>
          <w:trHeight w:val="510"/>
        </w:trPr>
        <w:tc>
          <w:tcPr>
            <w:tcW w:w="5307" w:type="dxa"/>
            <w:vAlign w:val="center"/>
          </w:tcPr>
          <w:p w:rsidR="004F4620" w:rsidRPr="00345335" w:rsidRDefault="004F4620" w:rsidP="00345335">
            <w:pPr>
              <w:spacing w:before="120" w:after="0" w:line="240" w:lineRule="auto"/>
              <w:jc w:val="both"/>
            </w:pPr>
            <w:r w:rsidRPr="00345335">
              <w:t xml:space="preserve">Nacionalna privatna potpora </w:t>
            </w:r>
          </w:p>
          <w:p w:rsidR="004F4620" w:rsidRPr="00345335" w:rsidRDefault="004F4620" w:rsidP="00345335">
            <w:pPr>
              <w:spacing w:after="0" w:line="240" w:lineRule="auto"/>
              <w:jc w:val="both"/>
            </w:pPr>
            <w:r w:rsidRPr="00345335">
              <w:t>(maksimalni iznos)</w:t>
            </w:r>
          </w:p>
        </w:tc>
        <w:tc>
          <w:tcPr>
            <w:tcW w:w="2552" w:type="dxa"/>
            <w:vAlign w:val="center"/>
          </w:tcPr>
          <w:p w:rsidR="004F4620" w:rsidRPr="00345335" w:rsidRDefault="004F4620" w:rsidP="00345335">
            <w:pPr>
              <w:spacing w:before="120" w:after="0" w:line="240" w:lineRule="auto"/>
              <w:jc w:val="both"/>
              <w:rPr>
                <w:highlight w:val="lightGray"/>
              </w:rPr>
            </w:pPr>
            <w:r w:rsidRPr="00345335">
              <w:rPr>
                <w:highlight w:val="lightGray"/>
              </w:rPr>
              <w:t>EUR</w:t>
            </w:r>
          </w:p>
        </w:tc>
      </w:tr>
      <w:tr w:rsidR="004F4620" w:rsidRPr="00345335" w:rsidTr="002760F9">
        <w:trPr>
          <w:trHeight w:val="340"/>
        </w:trPr>
        <w:tc>
          <w:tcPr>
            <w:tcW w:w="5307" w:type="dxa"/>
            <w:vAlign w:val="center"/>
          </w:tcPr>
          <w:p w:rsidR="004F4620" w:rsidRPr="00345335" w:rsidRDefault="004F4620" w:rsidP="00345335">
            <w:pPr>
              <w:spacing w:before="120" w:after="0" w:line="240" w:lineRule="auto"/>
              <w:jc w:val="both"/>
              <w:rPr>
                <w:b/>
              </w:rPr>
            </w:pPr>
            <w:r w:rsidRPr="00345335">
              <w:rPr>
                <w:b/>
              </w:rPr>
              <w:t>UKUPNO FINANCIRANJE</w:t>
            </w:r>
          </w:p>
        </w:tc>
        <w:tc>
          <w:tcPr>
            <w:tcW w:w="2552" w:type="dxa"/>
            <w:vAlign w:val="center"/>
          </w:tcPr>
          <w:p w:rsidR="004F4620" w:rsidRPr="00345335" w:rsidRDefault="004F4620" w:rsidP="00345335">
            <w:pPr>
              <w:spacing w:before="120" w:after="0" w:line="240" w:lineRule="auto"/>
              <w:jc w:val="both"/>
              <w:rPr>
                <w:highlight w:val="lightGray"/>
              </w:rPr>
            </w:pPr>
            <w:r w:rsidRPr="00345335">
              <w:rPr>
                <w:highlight w:val="lightGray"/>
              </w:rPr>
              <w:t>EUR</w:t>
            </w:r>
          </w:p>
        </w:tc>
      </w:tr>
      <w:tr w:rsidR="004F4620" w:rsidRPr="00345335" w:rsidTr="002760F9">
        <w:trPr>
          <w:trHeight w:val="340"/>
        </w:trPr>
        <w:tc>
          <w:tcPr>
            <w:tcW w:w="5307" w:type="dxa"/>
            <w:vAlign w:val="center"/>
          </w:tcPr>
          <w:p w:rsidR="004F4620" w:rsidRPr="00345335" w:rsidRDefault="004B61F4" w:rsidP="00345335">
            <w:pPr>
              <w:spacing w:before="120" w:after="0" w:line="240" w:lineRule="auto"/>
              <w:jc w:val="both"/>
              <w:rPr>
                <w:b/>
              </w:rPr>
            </w:pPr>
            <w:r w:rsidRPr="00345335">
              <w:rPr>
                <w:b/>
              </w:rPr>
              <w:t>Prihod</w:t>
            </w:r>
          </w:p>
        </w:tc>
        <w:tc>
          <w:tcPr>
            <w:tcW w:w="2552" w:type="dxa"/>
            <w:vAlign w:val="center"/>
          </w:tcPr>
          <w:p w:rsidR="004F4620" w:rsidRPr="00345335" w:rsidRDefault="004F4620" w:rsidP="00345335">
            <w:pPr>
              <w:spacing w:before="120" w:after="0" w:line="240" w:lineRule="auto"/>
              <w:jc w:val="both"/>
              <w:rPr>
                <w:highlight w:val="lightGray"/>
              </w:rPr>
            </w:pPr>
            <w:r w:rsidRPr="00345335">
              <w:rPr>
                <w:highlight w:val="lightGray"/>
              </w:rPr>
              <w:t>EUR</w:t>
            </w:r>
          </w:p>
        </w:tc>
      </w:tr>
      <w:tr w:rsidR="004F4620" w:rsidRPr="00345335" w:rsidTr="002760F9">
        <w:trPr>
          <w:trHeight w:val="340"/>
        </w:trPr>
        <w:tc>
          <w:tcPr>
            <w:tcW w:w="5307" w:type="dxa"/>
            <w:vAlign w:val="center"/>
          </w:tcPr>
          <w:p w:rsidR="004F4620" w:rsidRPr="00345335" w:rsidRDefault="004F4620" w:rsidP="00345335">
            <w:pPr>
              <w:spacing w:before="120" w:after="0" w:line="240" w:lineRule="auto"/>
              <w:jc w:val="both"/>
              <w:rPr>
                <w:b/>
              </w:rPr>
            </w:pPr>
            <w:r w:rsidRPr="00345335">
              <w:rPr>
                <w:b/>
              </w:rPr>
              <w:t>UKUPNO NETO FINANCIRANJE</w:t>
            </w:r>
          </w:p>
        </w:tc>
        <w:tc>
          <w:tcPr>
            <w:tcW w:w="2552" w:type="dxa"/>
            <w:vAlign w:val="center"/>
          </w:tcPr>
          <w:p w:rsidR="004F4620" w:rsidRPr="00345335" w:rsidRDefault="004F4620" w:rsidP="00345335">
            <w:pPr>
              <w:spacing w:before="120" w:after="0" w:line="240" w:lineRule="auto"/>
              <w:jc w:val="both"/>
              <w:rPr>
                <w:highlight w:val="lightGray"/>
              </w:rPr>
            </w:pPr>
            <w:r w:rsidRPr="00345335">
              <w:rPr>
                <w:highlight w:val="lightGray"/>
              </w:rPr>
              <w:t>EUR</w:t>
            </w:r>
          </w:p>
        </w:tc>
      </w:tr>
    </w:tbl>
    <w:p w:rsidR="004F4620" w:rsidRPr="00345335" w:rsidRDefault="004F4620" w:rsidP="00345335">
      <w:pPr>
        <w:spacing w:line="240" w:lineRule="auto"/>
        <w:jc w:val="both"/>
      </w:pPr>
    </w:p>
    <w:p w:rsidR="004F4620" w:rsidRPr="00345335" w:rsidRDefault="004F4620" w:rsidP="00345335">
      <w:pPr>
        <w:pStyle w:val="Odstavekseznama"/>
        <w:numPr>
          <w:ilvl w:val="0"/>
          <w:numId w:val="7"/>
        </w:numPr>
        <w:ind w:left="360"/>
        <w:jc w:val="both"/>
      </w:pPr>
      <w:r w:rsidRPr="00345335">
        <w:t xml:space="preserve">Iznos za financiranje projekta je zbroj ukupnog iznosa sufinanciranja koje pružaju partneri u državama članicama koje sudjeluju u programu i ukupni iznos koji je dodijeljen iz fondova programa </w:t>
      </w:r>
      <w:proofErr w:type="spellStart"/>
      <w:r w:rsidRPr="00345335">
        <w:t>Interreg</w:t>
      </w:r>
      <w:proofErr w:type="spellEnd"/>
      <w:r w:rsidRPr="00345335">
        <w:t xml:space="preserve"> V-A SI-HR. Sve potpore smatraju se maksimalnim </w:t>
      </w:r>
      <w:r w:rsidR="00D45F3C" w:rsidRPr="00345335">
        <w:t xml:space="preserve">privremenim </w:t>
      </w:r>
      <w:r w:rsidRPr="00345335">
        <w:t xml:space="preserve">iznosom. </w:t>
      </w:r>
    </w:p>
    <w:p w:rsidR="004F4620" w:rsidRPr="00345335" w:rsidRDefault="004F4620" w:rsidP="00345335">
      <w:pPr>
        <w:spacing w:after="0" w:line="240" w:lineRule="auto"/>
        <w:contextualSpacing/>
        <w:jc w:val="both"/>
      </w:pPr>
    </w:p>
    <w:p w:rsidR="004F4620" w:rsidRPr="00345335" w:rsidRDefault="004F4620" w:rsidP="00345335">
      <w:pPr>
        <w:pStyle w:val="Odstavekseznama"/>
        <w:numPr>
          <w:ilvl w:val="0"/>
          <w:numId w:val="7"/>
        </w:numPr>
        <w:ind w:left="360"/>
        <w:jc w:val="both"/>
      </w:pPr>
      <w:r w:rsidRPr="00345335">
        <w:t xml:space="preserve">Isplata </w:t>
      </w:r>
      <w:r w:rsidR="00D1180E" w:rsidRPr="00345335">
        <w:t>potpore EFRR</w:t>
      </w:r>
      <w:r w:rsidRPr="00345335">
        <w:t xml:space="preserve">-a izvršava se u skladu sa stopom </w:t>
      </w:r>
      <w:r w:rsidR="00D1180E" w:rsidRPr="00345335">
        <w:t>EFRR</w:t>
      </w:r>
      <w:r w:rsidRPr="00345335">
        <w:t xml:space="preserve">-ove </w:t>
      </w:r>
      <w:r w:rsidR="00D1180E" w:rsidRPr="00345335">
        <w:t xml:space="preserve">potpore </w:t>
      </w:r>
      <w:r w:rsidRPr="00345335">
        <w:t xml:space="preserve">određene za projektnog partnera, kako je odobreno u obrascu za prijavu (dalje u tekstu OP). </w:t>
      </w:r>
    </w:p>
    <w:p w:rsidR="004F4620" w:rsidRPr="00345335" w:rsidRDefault="004F4620" w:rsidP="00345335">
      <w:pPr>
        <w:spacing w:after="0" w:line="240" w:lineRule="auto"/>
        <w:contextualSpacing/>
        <w:jc w:val="both"/>
      </w:pPr>
    </w:p>
    <w:p w:rsidR="004F4620" w:rsidRPr="00345335" w:rsidRDefault="004F4620" w:rsidP="00345335">
      <w:pPr>
        <w:pStyle w:val="Odstavekseznama"/>
        <w:numPr>
          <w:ilvl w:val="0"/>
          <w:numId w:val="7"/>
        </w:numPr>
        <w:spacing w:after="120"/>
        <w:ind w:left="357" w:hanging="357"/>
        <w:contextualSpacing w:val="0"/>
        <w:jc w:val="both"/>
      </w:pPr>
      <w:r w:rsidRPr="00345335">
        <w:t>Smanjena potrošnja</w:t>
      </w:r>
    </w:p>
    <w:p w:rsidR="004F4620" w:rsidRPr="00345335" w:rsidRDefault="004F4620" w:rsidP="00345335">
      <w:pPr>
        <w:pStyle w:val="Odstavekseznama"/>
        <w:numPr>
          <w:ilvl w:val="1"/>
          <w:numId w:val="7"/>
        </w:numPr>
        <w:spacing w:after="120"/>
        <w:ind w:left="709" w:hanging="284"/>
        <w:contextualSpacing w:val="0"/>
        <w:jc w:val="both"/>
      </w:pPr>
      <w:r w:rsidRPr="00345335">
        <w:t xml:space="preserve">Općenito smanjena potrošnja dovest će do proporcionalnog smanjenja financiranja programa </w:t>
      </w:r>
      <w:proofErr w:type="spellStart"/>
      <w:r w:rsidRPr="00345335">
        <w:t>Interreg</w:t>
      </w:r>
      <w:proofErr w:type="spellEnd"/>
      <w:r w:rsidRPr="00345335">
        <w:t xml:space="preserve"> V-A SI-HR. Konačni iznos sredstava </w:t>
      </w:r>
      <w:r w:rsidR="00D1180E" w:rsidRPr="00345335">
        <w:t>EFRR</w:t>
      </w:r>
      <w:r w:rsidRPr="00345335">
        <w:t xml:space="preserve">-a bit će isplaćen isključivo na temelju prijavljenih </w:t>
      </w:r>
      <w:r w:rsidR="00D1180E" w:rsidRPr="00345335">
        <w:t xml:space="preserve">prihvatljivih </w:t>
      </w:r>
      <w:r w:rsidRPr="00345335">
        <w:t>rashoda.</w:t>
      </w:r>
    </w:p>
    <w:p w:rsidR="004F4620" w:rsidRPr="00345335" w:rsidRDefault="004F4620" w:rsidP="00345335">
      <w:pPr>
        <w:pStyle w:val="Odstavekseznama"/>
        <w:numPr>
          <w:ilvl w:val="1"/>
          <w:numId w:val="7"/>
        </w:numPr>
        <w:spacing w:after="120"/>
        <w:ind w:left="709" w:hanging="284"/>
        <w:contextualSpacing w:val="0"/>
        <w:jc w:val="both"/>
      </w:pPr>
      <w:r w:rsidRPr="00345335">
        <w:t xml:space="preserve">Znatno smanjena potrošnja projektnih sredstava dovest će do rezanja projektnog proračuna i </w:t>
      </w:r>
      <w:r w:rsidR="0014625C" w:rsidRPr="00345335">
        <w:t>EFRR</w:t>
      </w:r>
      <w:r w:rsidRPr="00345335">
        <w:t>-ova financiranja.</w:t>
      </w:r>
    </w:p>
    <w:p w:rsidR="004F4620" w:rsidRPr="00345335" w:rsidRDefault="004F4620" w:rsidP="00345335">
      <w:pPr>
        <w:pStyle w:val="Odstavekseznama"/>
        <w:numPr>
          <w:ilvl w:val="1"/>
          <w:numId w:val="7"/>
        </w:numPr>
        <w:spacing w:after="120"/>
        <w:ind w:left="709" w:hanging="284"/>
        <w:contextualSpacing w:val="0"/>
        <w:jc w:val="both"/>
      </w:pPr>
      <w:r w:rsidRPr="00345335">
        <w:t xml:space="preserve">Procjena projektne potrošnje temeljit će se na izvješću o napretku projekta, od 2. razdoblja </w:t>
      </w:r>
      <w:r w:rsidR="0001091E" w:rsidRPr="00345335">
        <w:t xml:space="preserve">izvještavanja </w:t>
      </w:r>
      <w:r w:rsidRPr="00345335">
        <w:t>nadalje. U projektu je dozvoljena smanjena potrošnja u iznosu koji je 15 % manji od iznosa proračuna predviđenog za prethodna razdoblja. Smanjena potrošnja koja je izvan postavljenih granica prihvatljiva je samo ako su pojedinačni troškovi odgođeni zbog razloga koji su izvan kontrole partnera.</w:t>
      </w:r>
    </w:p>
    <w:p w:rsidR="004F4620" w:rsidRPr="00345335" w:rsidRDefault="004F4620" w:rsidP="00345335">
      <w:pPr>
        <w:pStyle w:val="Odstavekseznama"/>
        <w:numPr>
          <w:ilvl w:val="1"/>
          <w:numId w:val="7"/>
        </w:numPr>
        <w:spacing w:after="120"/>
        <w:ind w:left="709" w:hanging="284"/>
        <w:contextualSpacing w:val="0"/>
        <w:jc w:val="both"/>
      </w:pPr>
      <w:r w:rsidRPr="00345335">
        <w:t>Ako je u projektu potrošnja manja od dopuštenog iznosa, iznos koji premašuje postavljenu granicu može se oduzeti od proje</w:t>
      </w:r>
      <w:r w:rsidR="00A26971" w:rsidRPr="00345335">
        <w:t>k</w:t>
      </w:r>
      <w:r w:rsidRPr="00345335">
        <w:t xml:space="preserve">tnog proračuna i </w:t>
      </w:r>
      <w:r w:rsidR="00921A4E" w:rsidRPr="00345335">
        <w:t>EFRR</w:t>
      </w:r>
      <w:r w:rsidRPr="00345335">
        <w:t xml:space="preserve">-ova financiranja. </w:t>
      </w:r>
    </w:p>
    <w:p w:rsidR="004F4620" w:rsidRPr="00345335" w:rsidRDefault="004F4620" w:rsidP="00345335">
      <w:pPr>
        <w:spacing w:after="0" w:line="240" w:lineRule="auto"/>
        <w:contextualSpacing/>
        <w:jc w:val="both"/>
      </w:pPr>
      <w:r w:rsidRPr="00345335">
        <w:t xml:space="preserve"> </w:t>
      </w:r>
    </w:p>
    <w:p w:rsidR="004F4620" w:rsidRPr="00345335" w:rsidRDefault="004F4620" w:rsidP="00345335">
      <w:pPr>
        <w:pStyle w:val="Odstavekseznama"/>
        <w:numPr>
          <w:ilvl w:val="0"/>
          <w:numId w:val="7"/>
        </w:numPr>
        <w:ind w:left="360"/>
        <w:jc w:val="both"/>
      </w:pPr>
      <w:r w:rsidRPr="00345335">
        <w:t xml:space="preserve">Isplata </w:t>
      </w:r>
      <w:r w:rsidR="00EB6058" w:rsidRPr="00345335">
        <w:t xml:space="preserve">potpore </w:t>
      </w:r>
      <w:r w:rsidRPr="00345335">
        <w:t xml:space="preserve">izvršit će se uz uvjet provedbe procesa nacionalne </w:t>
      </w:r>
      <w:r w:rsidR="00980591" w:rsidRPr="00345335">
        <w:t xml:space="preserve">prvostupanjske </w:t>
      </w:r>
      <w:r w:rsidRPr="00345335">
        <w:t xml:space="preserve">kontrole (članak 125. stavak 4. Uredbe (EU) br. 1303/2013), kao i odgovarajuće provedbe provjere od strane </w:t>
      </w:r>
      <w:r w:rsidR="00980591" w:rsidRPr="00345335">
        <w:t xml:space="preserve">Upravljačkog </w:t>
      </w:r>
      <w:r w:rsidRPr="00345335">
        <w:t>tijela.</w:t>
      </w:r>
    </w:p>
    <w:p w:rsidR="004F4620" w:rsidRPr="00345335" w:rsidRDefault="004F4620" w:rsidP="00345335">
      <w:pPr>
        <w:spacing w:after="0" w:line="240" w:lineRule="auto"/>
        <w:contextualSpacing/>
        <w:jc w:val="both"/>
      </w:pPr>
    </w:p>
    <w:p w:rsidR="004F4620" w:rsidRPr="00345335" w:rsidRDefault="004F4620" w:rsidP="00345335">
      <w:pPr>
        <w:pStyle w:val="Odstavekseznama"/>
        <w:numPr>
          <w:ilvl w:val="0"/>
          <w:numId w:val="7"/>
        </w:numPr>
        <w:ind w:left="360"/>
        <w:jc w:val="both"/>
      </w:pPr>
      <w:r w:rsidRPr="00345335">
        <w:t xml:space="preserve">Ako </w:t>
      </w:r>
      <w:r w:rsidR="00E76476" w:rsidRPr="00345335">
        <w:t xml:space="preserve">EK </w:t>
      </w:r>
      <w:r w:rsidRPr="00345335">
        <w:t xml:space="preserve">iz nekog razloga ne stavi sredstva na raspolaganje programu V-A SI-HR, </w:t>
      </w:r>
      <w:r w:rsidR="00E76476" w:rsidRPr="00345335">
        <w:t xml:space="preserve">Upravljačko </w:t>
      </w:r>
      <w:r w:rsidRPr="00345335">
        <w:t xml:space="preserve">tijelo ima pravo zadržati isplate koliko god je potrebno, ili kao krajnji korak, prekinuti ovaj Ugovor.  </w:t>
      </w:r>
    </w:p>
    <w:p w:rsidR="004F4620" w:rsidRPr="00345335" w:rsidRDefault="004F4620" w:rsidP="00345335">
      <w:pPr>
        <w:pStyle w:val="Odstavekseznama"/>
        <w:ind w:left="360"/>
      </w:pPr>
    </w:p>
    <w:p w:rsidR="004F4620" w:rsidRPr="00345335" w:rsidRDefault="004F4620" w:rsidP="00345335">
      <w:pPr>
        <w:pStyle w:val="Odstavekseznama"/>
        <w:numPr>
          <w:ilvl w:val="0"/>
          <w:numId w:val="7"/>
        </w:numPr>
        <w:ind w:left="360"/>
        <w:jc w:val="both"/>
      </w:pPr>
      <w:r w:rsidRPr="00345335">
        <w:t>Ako se dogodi ozbiljan neuspjeh u ostvarivanju ci</w:t>
      </w:r>
      <w:r w:rsidR="00A26971" w:rsidRPr="00345335">
        <w:t>l</w:t>
      </w:r>
      <w:r w:rsidRPr="00345335">
        <w:t xml:space="preserve">jeva koji se odnose na pokazatelje rezultata, mogu se primjenjivati financijski ispravci na </w:t>
      </w:r>
      <w:r w:rsidR="00E76476" w:rsidRPr="00345335">
        <w:t xml:space="preserve">razini </w:t>
      </w:r>
      <w:r w:rsidRPr="00345335">
        <w:t>opera</w:t>
      </w:r>
      <w:r w:rsidR="00E76476" w:rsidRPr="00345335">
        <w:t>cije</w:t>
      </w:r>
      <w:r w:rsidRPr="00345335">
        <w:t>.</w:t>
      </w:r>
    </w:p>
    <w:p w:rsidR="004F4620" w:rsidRPr="00345335" w:rsidRDefault="004F4620" w:rsidP="00345335">
      <w:pPr>
        <w:spacing w:after="0" w:line="240" w:lineRule="auto"/>
        <w:contextualSpacing/>
        <w:jc w:val="both"/>
      </w:pPr>
    </w:p>
    <w:p w:rsidR="004F4620" w:rsidRPr="00345335" w:rsidRDefault="004F4620" w:rsidP="00345335">
      <w:pPr>
        <w:pStyle w:val="Odstavekseznama"/>
        <w:numPr>
          <w:ilvl w:val="0"/>
          <w:numId w:val="7"/>
        </w:numPr>
        <w:ind w:left="360"/>
        <w:jc w:val="both"/>
      </w:pPr>
      <w:r w:rsidRPr="00345335">
        <w:t xml:space="preserve">Ako </w:t>
      </w:r>
      <w:r w:rsidR="00BA07A7" w:rsidRPr="00345335">
        <w:t xml:space="preserve">Vodeći </w:t>
      </w:r>
      <w:r w:rsidRPr="00345335">
        <w:t>partner ili projektni partner ne ispuni zahtjeve za sufinanciranje koji su propisani ovim Ugovor</w:t>
      </w:r>
      <w:r w:rsidR="00BA07A7" w:rsidRPr="00345335">
        <w:t>o</w:t>
      </w:r>
      <w:r w:rsidRPr="00345335">
        <w:t xml:space="preserve">m na temelju odobrenog obrasca za prijavu, </w:t>
      </w:r>
      <w:r w:rsidR="00BA07A7" w:rsidRPr="00345335">
        <w:t xml:space="preserve">Upravljačko </w:t>
      </w:r>
      <w:r w:rsidRPr="00345335">
        <w:t xml:space="preserve">tijelo ima pravo raskinuti ovaj Ugovor ili umanjiti iznos </w:t>
      </w:r>
      <w:r w:rsidR="00CE6F8C" w:rsidRPr="00345335">
        <w:t xml:space="preserve">potpore </w:t>
      </w:r>
      <w:r w:rsidRPr="00345335">
        <w:t xml:space="preserve">proporcionalno smanjenom nacionalnom sufinanciranju, ovisno o slučaju. Vodeći partner može provesti žalbeni postupak na takve radnje </w:t>
      </w:r>
      <w:r w:rsidR="00CE6F8C" w:rsidRPr="00345335">
        <w:t xml:space="preserve">Upravljačkog </w:t>
      </w:r>
      <w:r w:rsidRPr="00345335">
        <w:t xml:space="preserve">tijela. Nakon provedbe žalbenog postupka, isključeno je svako potraživanje </w:t>
      </w:r>
      <w:r w:rsidR="00CE6F8C" w:rsidRPr="00345335">
        <w:t xml:space="preserve">Vodećeg </w:t>
      </w:r>
      <w:r w:rsidRPr="00345335">
        <w:t xml:space="preserve">partnera </w:t>
      </w:r>
      <w:r w:rsidR="00CE6F8C" w:rsidRPr="00345335">
        <w:t xml:space="preserve">prema Upravljačkom tijelu </w:t>
      </w:r>
      <w:r w:rsidRPr="00345335">
        <w:t xml:space="preserve">bez obzira na razlog, nakon što su </w:t>
      </w:r>
      <w:r w:rsidR="00CE6F8C" w:rsidRPr="00345335">
        <w:t xml:space="preserve">uključene </w:t>
      </w:r>
      <w:r w:rsidRPr="00345335">
        <w:t xml:space="preserve">strane razmijenile informacije o tom pitanju, a u razumnom vremenu nije postignuta suglasnost. </w:t>
      </w:r>
    </w:p>
    <w:p w:rsidR="004F4620" w:rsidRPr="00345335" w:rsidRDefault="004F4620" w:rsidP="00345335">
      <w:pPr>
        <w:spacing w:after="0" w:line="240" w:lineRule="auto"/>
        <w:contextualSpacing/>
        <w:jc w:val="both"/>
      </w:pPr>
    </w:p>
    <w:p w:rsidR="00C13BB3" w:rsidRPr="00345335" w:rsidRDefault="00C13BB3" w:rsidP="00345335">
      <w:pPr>
        <w:spacing w:after="0" w:line="240" w:lineRule="auto"/>
        <w:contextualSpacing/>
        <w:jc w:val="both"/>
      </w:pPr>
    </w:p>
    <w:p w:rsidR="004F4620" w:rsidRPr="00345335" w:rsidRDefault="004F4620" w:rsidP="00345335">
      <w:pPr>
        <w:spacing w:after="0" w:line="240" w:lineRule="auto"/>
        <w:contextualSpacing/>
        <w:jc w:val="center"/>
        <w:rPr>
          <w:b/>
        </w:rPr>
      </w:pPr>
      <w:r w:rsidRPr="00345335">
        <w:rPr>
          <w:b/>
        </w:rPr>
        <w:t>Članak 3.</w:t>
      </w:r>
    </w:p>
    <w:p w:rsidR="004F4620" w:rsidRPr="00345335" w:rsidRDefault="004F4620" w:rsidP="00345335">
      <w:pPr>
        <w:spacing w:after="0" w:line="240" w:lineRule="auto"/>
        <w:contextualSpacing/>
        <w:jc w:val="center"/>
        <w:rPr>
          <w:b/>
        </w:rPr>
      </w:pPr>
      <w:r w:rsidRPr="00345335">
        <w:rPr>
          <w:b/>
        </w:rPr>
        <w:t xml:space="preserve">Predmet upotrebe, </w:t>
      </w:r>
      <w:r w:rsidR="005C144D" w:rsidRPr="00345335">
        <w:rPr>
          <w:b/>
        </w:rPr>
        <w:t xml:space="preserve">prihvatljivost troškova </w:t>
      </w:r>
      <w:r w:rsidRPr="00345335">
        <w:rPr>
          <w:b/>
        </w:rPr>
        <w:t>i promjene projekta</w:t>
      </w:r>
    </w:p>
    <w:p w:rsidR="004F4620" w:rsidRPr="00345335" w:rsidRDefault="004F4620" w:rsidP="00345335">
      <w:pPr>
        <w:spacing w:after="0" w:line="240" w:lineRule="auto"/>
        <w:contextualSpacing/>
        <w:jc w:val="both"/>
      </w:pPr>
    </w:p>
    <w:p w:rsidR="004F4620" w:rsidRPr="00345335" w:rsidRDefault="006D560F" w:rsidP="00345335">
      <w:pPr>
        <w:pStyle w:val="Odstavekseznama"/>
        <w:numPr>
          <w:ilvl w:val="0"/>
          <w:numId w:val="8"/>
        </w:numPr>
        <w:ind w:left="360"/>
        <w:jc w:val="both"/>
      </w:pPr>
      <w:r w:rsidRPr="00345335">
        <w:t xml:space="preserve">Potpora </w:t>
      </w:r>
      <w:r w:rsidR="004F4620" w:rsidRPr="00345335">
        <w:t>se dodjeljuje isključivo za provedbu projekta kako je opisano u obrascu za prijavu.</w:t>
      </w:r>
    </w:p>
    <w:p w:rsidR="004F4620" w:rsidRPr="00345335" w:rsidRDefault="004F4620" w:rsidP="00345335">
      <w:pPr>
        <w:spacing w:after="0" w:line="240" w:lineRule="auto"/>
        <w:contextualSpacing/>
        <w:jc w:val="both"/>
      </w:pPr>
    </w:p>
    <w:p w:rsidR="004F4620" w:rsidRPr="00345335" w:rsidRDefault="004F4620" w:rsidP="00345335">
      <w:pPr>
        <w:pStyle w:val="Odstavekseznama"/>
        <w:numPr>
          <w:ilvl w:val="0"/>
          <w:numId w:val="8"/>
        </w:numPr>
        <w:ind w:left="360"/>
        <w:jc w:val="both"/>
      </w:pPr>
      <w:r w:rsidRPr="00345335">
        <w:t xml:space="preserve">Vodeći partner i projektni partner provest će projekt uz potrebnu pažnju, učinkovitost, transparentnost i analizu, u skladu s najboljim praksama iz relevantnog područja i u skladu s ovim </w:t>
      </w:r>
      <w:r w:rsidRPr="00345335">
        <w:lastRenderedPageBreak/>
        <w:t xml:space="preserve">Ugovorom. </w:t>
      </w:r>
      <w:r w:rsidR="008026E9" w:rsidRPr="00345335">
        <w:t>U tu svrhu</w:t>
      </w:r>
      <w:r w:rsidRPr="00345335">
        <w:t xml:space="preserve">, </w:t>
      </w:r>
      <w:r w:rsidR="008026E9" w:rsidRPr="00345335">
        <w:t xml:space="preserve">Vodeći </w:t>
      </w:r>
      <w:r w:rsidRPr="00345335">
        <w:t>partner i projektni partner mobilizirat će sve financijske, ljudske i materijalne resurse potrebne za provedbu cijelog projekta kako je opisan u obrascu za prijavu.</w:t>
      </w:r>
    </w:p>
    <w:p w:rsidR="004F4620" w:rsidRPr="00345335" w:rsidRDefault="004F4620" w:rsidP="00345335">
      <w:pPr>
        <w:spacing w:after="0" w:line="240" w:lineRule="auto"/>
        <w:contextualSpacing/>
        <w:jc w:val="both"/>
      </w:pPr>
    </w:p>
    <w:p w:rsidR="004F4620" w:rsidRPr="00345335" w:rsidRDefault="004F4620" w:rsidP="00345335">
      <w:pPr>
        <w:pStyle w:val="Odstavekseznama"/>
        <w:numPr>
          <w:ilvl w:val="0"/>
          <w:numId w:val="8"/>
        </w:numPr>
        <w:ind w:left="360"/>
        <w:jc w:val="both"/>
      </w:pPr>
      <w:r w:rsidRPr="00345335">
        <w:t xml:space="preserve">Troškovi </w:t>
      </w:r>
      <w:r w:rsidR="008F3AED" w:rsidRPr="00345335">
        <w:t xml:space="preserve">kvalificirani </w:t>
      </w:r>
      <w:r w:rsidRPr="00345335">
        <w:t xml:space="preserve">za </w:t>
      </w:r>
      <w:r w:rsidR="008F3AED" w:rsidRPr="00345335">
        <w:t xml:space="preserve">potporu </w:t>
      </w:r>
      <w:r w:rsidRPr="00345335">
        <w:t xml:space="preserve">u skladu s člankom 2. Dodjele </w:t>
      </w:r>
      <w:r w:rsidR="008F3AED" w:rsidRPr="00345335">
        <w:t xml:space="preserve">potpore </w:t>
      </w:r>
      <w:r w:rsidRPr="00345335">
        <w:t xml:space="preserve">isključivo se sastoje samo od </w:t>
      </w:r>
      <w:r w:rsidR="008F3AED" w:rsidRPr="00345335">
        <w:t xml:space="preserve">prihvatljivih </w:t>
      </w:r>
      <w:r w:rsidRPr="00345335">
        <w:t>troš</w:t>
      </w:r>
      <w:r w:rsidR="00A34FA8">
        <w:t>kova koje je potvrdila nacionalna</w:t>
      </w:r>
      <w:r w:rsidRPr="00345335">
        <w:t xml:space="preserve"> </w:t>
      </w:r>
      <w:r w:rsidR="00A34FA8" w:rsidRPr="00345335">
        <w:t xml:space="preserve">prvostupanjska kontrola </w:t>
      </w:r>
      <w:r w:rsidRPr="00345335">
        <w:t xml:space="preserve">i odobrilo </w:t>
      </w:r>
      <w:r w:rsidR="008F3AED" w:rsidRPr="00345335">
        <w:t xml:space="preserve">Upravljačko </w:t>
      </w:r>
      <w:r w:rsidRPr="00345335">
        <w:t xml:space="preserve">tijelo u skladu sa strukturom proračuna u odobrenom obrascu za prijavu. Troškovi koji se priznaju za </w:t>
      </w:r>
      <w:r w:rsidR="008F3AED" w:rsidRPr="00345335">
        <w:t>potporu EFRR</w:t>
      </w:r>
      <w:r w:rsidRPr="00345335">
        <w:t xml:space="preserve">-a reguliraju se usklađivanjem rashoda s pravnim odredbama članka 1. Pravni okvir, članka 6. Informacije i komunikacija </w:t>
      </w:r>
      <w:r w:rsidR="008F3AED" w:rsidRPr="00345335">
        <w:t xml:space="preserve">te Implementacijskog </w:t>
      </w:r>
      <w:r w:rsidRPr="00345335">
        <w:t xml:space="preserve">priručnika za korisnike potpore. Izvješća o napretku partnera mora potvrditi </w:t>
      </w:r>
      <w:r w:rsidR="002760F9" w:rsidRPr="00345335">
        <w:t xml:space="preserve">prvostupanjska kontrola </w:t>
      </w:r>
      <w:r w:rsidR="008F3AED" w:rsidRPr="00345335">
        <w:t>kako bi se podnijeli</w:t>
      </w:r>
      <w:r w:rsidRPr="00345335">
        <w:t xml:space="preserve"> Zajedničkom tajništvu</w:t>
      </w:r>
      <w:r w:rsidR="00932F80" w:rsidRPr="00345335">
        <w:t xml:space="preserve"> u skladu s</w:t>
      </w:r>
      <w:r w:rsidRPr="00345335">
        <w:t xml:space="preserve"> </w:t>
      </w:r>
      <w:r w:rsidR="00932F80" w:rsidRPr="00345335">
        <w:t xml:space="preserve">postupkom </w:t>
      </w:r>
      <w:r w:rsidRPr="00345335">
        <w:t>naveden</w:t>
      </w:r>
      <w:r w:rsidR="00932F80" w:rsidRPr="00345335">
        <w:t>im</w:t>
      </w:r>
      <w:r w:rsidRPr="00345335">
        <w:t xml:space="preserve"> u </w:t>
      </w:r>
      <w:r w:rsidR="008F3AED" w:rsidRPr="00345335">
        <w:t xml:space="preserve">Implementacijskom </w:t>
      </w:r>
      <w:r w:rsidRPr="00345335">
        <w:t>priručniku za korisnike potpore.</w:t>
      </w:r>
    </w:p>
    <w:p w:rsidR="004F4620" w:rsidRPr="00345335" w:rsidRDefault="004F4620" w:rsidP="00345335">
      <w:pPr>
        <w:spacing w:after="0" w:line="240" w:lineRule="auto"/>
        <w:contextualSpacing/>
        <w:jc w:val="both"/>
      </w:pPr>
    </w:p>
    <w:p w:rsidR="00D33DCA" w:rsidRPr="00D33DCA" w:rsidRDefault="00D33DCA" w:rsidP="00345335">
      <w:pPr>
        <w:pStyle w:val="Odstavekseznama"/>
        <w:numPr>
          <w:ilvl w:val="0"/>
          <w:numId w:val="8"/>
        </w:numPr>
        <w:ind w:left="360"/>
        <w:jc w:val="both"/>
      </w:pPr>
      <w:r w:rsidRPr="00D33DCA">
        <w:rPr>
          <w:rFonts w:ascii="Calibri" w:hAnsi="Calibri" w:cs="Calibri"/>
          <w:color w:val="000000"/>
          <w:lang w:bidi="ar-SA"/>
        </w:rPr>
        <w:t>Troškovi izvedbe projekta priznaju se u slučaju da su bili plaćani tijekom implementacije projekta tj. od datuma početka do datuma završetka projekta kao što je opredijeljeno u ovom Ugovoru. Osim navedenog razdoblja, prihvatljivi su i troškovi pripreme i troškovi nastali u zadnjem razdoblju izvještavanja koji su bili plaćani u roku od 30 dana od datuma završetka projekta.</w:t>
      </w:r>
    </w:p>
    <w:p w:rsidR="004F4620" w:rsidRPr="00345335" w:rsidRDefault="004F4620" w:rsidP="00345335">
      <w:pPr>
        <w:pStyle w:val="Odstavekseznama"/>
        <w:ind w:left="360"/>
      </w:pPr>
    </w:p>
    <w:p w:rsidR="004F4620" w:rsidRPr="00345335" w:rsidRDefault="004F4620" w:rsidP="00345335">
      <w:pPr>
        <w:pStyle w:val="Odstavekseznama"/>
        <w:numPr>
          <w:ilvl w:val="0"/>
          <w:numId w:val="8"/>
        </w:numPr>
        <w:ind w:left="360"/>
        <w:jc w:val="both"/>
      </w:pPr>
      <w:r w:rsidRPr="00345335">
        <w:t xml:space="preserve">Vodeći partner ima pravo tražiti promjene proračuna ili sadržaja tijekom provedbe projekta. Opće je pravilo da se promjene mogu izvršiti ne više od 2 puta tijekom trajanja projekta. </w:t>
      </w:r>
      <w:r w:rsidR="00C23F7C" w:rsidRPr="00345335">
        <w:t>U skladu s tim</w:t>
      </w:r>
      <w:r w:rsidRPr="00345335">
        <w:t xml:space="preserve"> potrebno </w:t>
      </w:r>
      <w:r w:rsidR="00C23F7C" w:rsidRPr="00345335">
        <w:t xml:space="preserve">je </w:t>
      </w:r>
      <w:r w:rsidRPr="00345335">
        <w:t xml:space="preserve">poslati službeni zahtjev za promjenu Zajedničkom tajništvu u skladu s postupkom koji je opisan u </w:t>
      </w:r>
      <w:r w:rsidR="00C23F7C" w:rsidRPr="00345335">
        <w:t xml:space="preserve">Implementacijskom </w:t>
      </w:r>
      <w:r w:rsidRPr="00345335">
        <w:t xml:space="preserve">priručniku za korisnike potpore. Izmijenjeni proračun i/ili sadržaj stupit će na snagu tek nakon što </w:t>
      </w:r>
      <w:r w:rsidR="00C23F7C" w:rsidRPr="00345335">
        <w:t xml:space="preserve">Upravljačko </w:t>
      </w:r>
      <w:r w:rsidRPr="00345335">
        <w:t xml:space="preserve">tijelo ili </w:t>
      </w:r>
      <w:r w:rsidR="00C23F7C" w:rsidRPr="00345335">
        <w:t xml:space="preserve">Odbor </w:t>
      </w:r>
      <w:r w:rsidRPr="00345335">
        <w:t xml:space="preserve">za praćenje </w:t>
      </w:r>
      <w:r w:rsidR="00C23F7C" w:rsidRPr="00345335">
        <w:t xml:space="preserve">donese </w:t>
      </w:r>
      <w:r w:rsidRPr="00345335">
        <w:t xml:space="preserve">odluku. To može zahtijevati i izmjenu </w:t>
      </w:r>
      <w:r w:rsidR="00C23F7C" w:rsidRPr="00345335">
        <w:t>EFRR-</w:t>
      </w:r>
      <w:r w:rsidRPr="00345335">
        <w:t>ova Ugovora o sufinanciranju. Vodeći partner obavezno mora opisati vrstu promjena i argumente za svaku promjenu, bez obzira na to je li promjena koja se navodi u zahtjevu za promjenu podnesenom Zajedničkom tajništvu povezana s proračunom/financiranjem ili sadržajem.</w:t>
      </w:r>
    </w:p>
    <w:p w:rsidR="004F4620" w:rsidRDefault="004F4620" w:rsidP="00345335">
      <w:pPr>
        <w:spacing w:after="0" w:line="240" w:lineRule="auto"/>
        <w:contextualSpacing/>
        <w:jc w:val="both"/>
      </w:pPr>
    </w:p>
    <w:p w:rsidR="00345335" w:rsidRPr="00345335" w:rsidRDefault="00345335" w:rsidP="00345335">
      <w:pPr>
        <w:spacing w:after="0" w:line="240" w:lineRule="auto"/>
        <w:contextualSpacing/>
        <w:jc w:val="both"/>
      </w:pPr>
    </w:p>
    <w:p w:rsidR="004F4620" w:rsidRPr="00345335" w:rsidRDefault="004F4620" w:rsidP="00345335">
      <w:pPr>
        <w:spacing w:after="0" w:line="240" w:lineRule="auto"/>
        <w:contextualSpacing/>
        <w:jc w:val="center"/>
        <w:rPr>
          <w:b/>
        </w:rPr>
      </w:pPr>
      <w:r w:rsidRPr="00345335">
        <w:rPr>
          <w:b/>
        </w:rPr>
        <w:t>Članak 4.</w:t>
      </w:r>
    </w:p>
    <w:p w:rsidR="004F4620" w:rsidRPr="00345335" w:rsidRDefault="004F4620" w:rsidP="00345335">
      <w:pPr>
        <w:spacing w:after="0" w:line="240" w:lineRule="auto"/>
        <w:contextualSpacing/>
        <w:jc w:val="center"/>
        <w:rPr>
          <w:b/>
        </w:rPr>
      </w:pPr>
      <w:r w:rsidRPr="00345335">
        <w:rPr>
          <w:b/>
        </w:rPr>
        <w:t>Zahtjev za isplatu</w:t>
      </w:r>
    </w:p>
    <w:p w:rsidR="004F4620" w:rsidRPr="00345335" w:rsidRDefault="004F4620" w:rsidP="00345335">
      <w:pPr>
        <w:spacing w:after="0" w:line="240" w:lineRule="auto"/>
        <w:contextualSpacing/>
        <w:jc w:val="both"/>
      </w:pPr>
    </w:p>
    <w:p w:rsidR="004F4620" w:rsidRPr="00345335" w:rsidRDefault="004F4620" w:rsidP="00345335">
      <w:pPr>
        <w:pStyle w:val="Odstavekseznama"/>
        <w:numPr>
          <w:ilvl w:val="0"/>
          <w:numId w:val="9"/>
        </w:numPr>
        <w:ind w:left="360"/>
        <w:jc w:val="both"/>
      </w:pPr>
      <w:r w:rsidRPr="00345335">
        <w:t xml:space="preserve">Vodeći partner može zatražiti </w:t>
      </w:r>
      <w:r w:rsidR="00B403F6" w:rsidRPr="00345335">
        <w:t xml:space="preserve">isplatu </w:t>
      </w:r>
      <w:r w:rsidRPr="00345335">
        <w:t>samo ako dostavi dokaz o napretku projekta kako je opisan</w:t>
      </w:r>
      <w:r w:rsidR="00A26971" w:rsidRPr="00345335">
        <w:t>o</w:t>
      </w:r>
      <w:r w:rsidRPr="00345335">
        <w:t xml:space="preserve"> u odobrenom obrascu za prijavu. Sva se izvješća ispunjavaju u sustavu za e-nadzor, gdje se izvršavaju i sve provjere. U obrascima za </w:t>
      </w:r>
      <w:r w:rsidR="00B403F6" w:rsidRPr="00345335">
        <w:t xml:space="preserve">izvještavanje </w:t>
      </w:r>
      <w:r w:rsidRPr="00345335">
        <w:t xml:space="preserve">navedene su upute, kao i u </w:t>
      </w:r>
      <w:r w:rsidR="00B403F6" w:rsidRPr="00345335">
        <w:t xml:space="preserve">Implementacijskom </w:t>
      </w:r>
      <w:r w:rsidRPr="00345335">
        <w:t xml:space="preserve">priručniku za korisnike potpore. Vodeći partner osigurava da je stopa </w:t>
      </w:r>
      <w:r w:rsidR="00432B3D" w:rsidRPr="00345335">
        <w:t xml:space="preserve">sufinanciranja </w:t>
      </w:r>
      <w:r w:rsidRPr="00345335">
        <w:t xml:space="preserve">svakog partnera uzeta u obzir </w:t>
      </w:r>
      <w:r w:rsidR="00432B3D" w:rsidRPr="00345335">
        <w:t>prilikom postupka izvještavanja</w:t>
      </w:r>
      <w:r w:rsidRPr="00345335">
        <w:t xml:space="preserve">, omogućujući pravilnu raspodjelu </w:t>
      </w:r>
      <w:r w:rsidR="00432B3D" w:rsidRPr="00345335">
        <w:t>EFRR</w:t>
      </w:r>
      <w:r w:rsidRPr="00345335">
        <w:t>-ovih sredstava svakom projektnom partneru.</w:t>
      </w:r>
    </w:p>
    <w:p w:rsidR="004F4620" w:rsidRPr="00345335" w:rsidRDefault="004F4620" w:rsidP="00345335">
      <w:pPr>
        <w:pStyle w:val="Odstavekseznama"/>
        <w:ind w:left="360"/>
        <w:jc w:val="both"/>
      </w:pPr>
    </w:p>
    <w:p w:rsidR="004F4620" w:rsidRPr="00345335" w:rsidRDefault="004F4620" w:rsidP="00345335">
      <w:pPr>
        <w:pStyle w:val="Odstavekseznama"/>
        <w:numPr>
          <w:ilvl w:val="0"/>
          <w:numId w:val="9"/>
        </w:numPr>
        <w:ind w:left="360"/>
        <w:jc w:val="both"/>
      </w:pPr>
      <w:r w:rsidRPr="00345335">
        <w:t xml:space="preserve">Izvješća o napretku partnera moraju se podnijeti kontroli prve razine u roku od 30 kalendarskih dana nakon završetka razdoblja za </w:t>
      </w:r>
      <w:r w:rsidR="00432B3D" w:rsidRPr="00345335">
        <w:t>izvještavanje</w:t>
      </w:r>
      <w:r w:rsidRPr="00345335">
        <w:t xml:space="preserve">. </w:t>
      </w:r>
    </w:p>
    <w:p w:rsidR="004F4620" w:rsidRPr="00345335" w:rsidRDefault="004F4620" w:rsidP="00345335">
      <w:pPr>
        <w:spacing w:after="0" w:line="240" w:lineRule="auto"/>
        <w:contextualSpacing/>
        <w:jc w:val="both"/>
      </w:pPr>
    </w:p>
    <w:p w:rsidR="004F4620" w:rsidRPr="00345335" w:rsidRDefault="004F4620" w:rsidP="00345335">
      <w:pPr>
        <w:pStyle w:val="Odstavekseznama"/>
        <w:numPr>
          <w:ilvl w:val="0"/>
          <w:numId w:val="9"/>
        </w:numPr>
        <w:ind w:left="360"/>
        <w:jc w:val="both"/>
      </w:pPr>
      <w:r w:rsidRPr="00345335">
        <w:t xml:space="preserve">Izvješća o napretku partnera moraju se podnijeti Zajedničkom tajništvu u roku od 5 mjeseci nakon završetka razdoblja za </w:t>
      </w:r>
      <w:r w:rsidR="00194D48" w:rsidRPr="00345335">
        <w:t>izvještavanje</w:t>
      </w:r>
      <w:r w:rsidRPr="00345335">
        <w:t xml:space="preserve">. Ako pojedinačno izvješće kasni više od 6 mjeseci, </w:t>
      </w:r>
      <w:r w:rsidR="00194D48" w:rsidRPr="00345335">
        <w:t xml:space="preserve">Upravljačko </w:t>
      </w:r>
      <w:r w:rsidRPr="00345335">
        <w:t>tijelo može donijeti odluku da neće odobriti troškove obuhvaćene tim izvješćem.</w:t>
      </w:r>
    </w:p>
    <w:p w:rsidR="004F4620" w:rsidRPr="00345335" w:rsidRDefault="004F4620" w:rsidP="00345335">
      <w:pPr>
        <w:pStyle w:val="Odstavekseznama"/>
        <w:ind w:left="360"/>
        <w:jc w:val="both"/>
      </w:pPr>
    </w:p>
    <w:p w:rsidR="004F4620" w:rsidRPr="00345335" w:rsidRDefault="004F4620" w:rsidP="00345335">
      <w:pPr>
        <w:pStyle w:val="Odstavekseznama"/>
        <w:numPr>
          <w:ilvl w:val="0"/>
          <w:numId w:val="9"/>
        </w:numPr>
        <w:ind w:left="360"/>
        <w:jc w:val="both"/>
      </w:pPr>
      <w:r w:rsidRPr="00345335">
        <w:t xml:space="preserve">Ako Zajedničko tajništvo ima pitanja o izvješćima, projekti će dobiti vremena </w:t>
      </w:r>
      <w:r w:rsidR="00194D48" w:rsidRPr="00345335">
        <w:t xml:space="preserve">da </w:t>
      </w:r>
      <w:r w:rsidRPr="00345335">
        <w:t xml:space="preserve">odgovore na ta pitanja. Ako se do određenog roka ne primi odgovor, Zajedničko tajništvo nastavit će s podacima koji su mu dostupni. Ako Zajedničko tajništvo nema dovoljno podataka da podrži </w:t>
      </w:r>
      <w:r w:rsidR="00EE4094" w:rsidRPr="00345335">
        <w:t xml:space="preserve">prihvatljive </w:t>
      </w:r>
      <w:r w:rsidRPr="00345335">
        <w:t>troškove, smatrat će se nepriznatima.</w:t>
      </w:r>
    </w:p>
    <w:p w:rsidR="004F4620" w:rsidRPr="00345335" w:rsidRDefault="004F4620" w:rsidP="00345335">
      <w:pPr>
        <w:spacing w:after="0" w:line="240" w:lineRule="auto"/>
        <w:contextualSpacing/>
        <w:jc w:val="both"/>
      </w:pPr>
    </w:p>
    <w:p w:rsidR="004F4620" w:rsidRPr="00345335" w:rsidRDefault="004F4620" w:rsidP="00345335">
      <w:pPr>
        <w:pStyle w:val="Odstavekseznama"/>
        <w:numPr>
          <w:ilvl w:val="0"/>
          <w:numId w:val="9"/>
        </w:numPr>
        <w:ind w:left="360"/>
        <w:jc w:val="both"/>
      </w:pPr>
      <w:r w:rsidRPr="00345335">
        <w:lastRenderedPageBreak/>
        <w:t xml:space="preserve">Na temelju činjenice da će se isplate </w:t>
      </w:r>
      <w:r w:rsidR="00D0179F" w:rsidRPr="00345335">
        <w:t>EK</w:t>
      </w:r>
      <w:r w:rsidRPr="00345335">
        <w:t xml:space="preserve">-a </w:t>
      </w:r>
      <w:r w:rsidR="00D0179F" w:rsidRPr="00345335">
        <w:t xml:space="preserve">prema Upravljačkom </w:t>
      </w:r>
      <w:r w:rsidRPr="00345335">
        <w:t>tijelu izvršavati samo u skladu s odgovarajućim proračunskim obvezama, članak 136. Uredbe (EU) br. 1303/2013</w:t>
      </w:r>
      <w:r w:rsidR="00D0179F" w:rsidRPr="00345335">
        <w:t xml:space="preserve"> navodi da Vodeći </w:t>
      </w:r>
      <w:r w:rsidRPr="00345335">
        <w:t xml:space="preserve">partner može zatražiti isplatu u skladu s odobrenim </w:t>
      </w:r>
      <w:r w:rsidR="00A26971" w:rsidRPr="00345335">
        <w:t>obrascem</w:t>
      </w:r>
      <w:r w:rsidRPr="00345335">
        <w:t xml:space="preserve"> za prijavu. Isplate koje nisu zatražene na vrijeme, u cijelosti ili nisu u skladu s postupkom opisanim u </w:t>
      </w:r>
      <w:r w:rsidR="00D0179F" w:rsidRPr="00345335">
        <w:t xml:space="preserve">Implementacijskom </w:t>
      </w:r>
      <w:r w:rsidRPr="00345335">
        <w:t xml:space="preserve">priručniku za korisnike potpore, mogu biti izgubljene ako program </w:t>
      </w:r>
      <w:proofErr w:type="spellStart"/>
      <w:r w:rsidRPr="00345335">
        <w:t>Interreg</w:t>
      </w:r>
      <w:proofErr w:type="spellEnd"/>
      <w:r w:rsidRPr="00345335">
        <w:t xml:space="preserve"> V-A SI-HR bude podvrgnut oduzimanju doznačenih sredstava. Razmatranje o tome jesu li isplate smanjene zbog procesa oduzimanja doznačenih sredstava provest će se na kraju svake godine trajanja odobrenog projekta. Svako neopravdano kašnjenje u </w:t>
      </w:r>
      <w:r w:rsidR="009D47BA" w:rsidRPr="00345335">
        <w:t xml:space="preserve">izvještavanju </w:t>
      </w:r>
      <w:r w:rsidRPr="00345335">
        <w:t xml:space="preserve">ili u postupku obrazloženja izvješća o napretku projekta, od strane </w:t>
      </w:r>
      <w:r w:rsidR="009D47BA" w:rsidRPr="00345335">
        <w:t xml:space="preserve">Vodećeg </w:t>
      </w:r>
      <w:r w:rsidRPr="00345335">
        <w:t xml:space="preserve">partnera ili projektnih partnera, može dovesti do smanjenja ili ukidanja </w:t>
      </w:r>
      <w:r w:rsidR="009D47BA" w:rsidRPr="00345335">
        <w:t>potpore</w:t>
      </w:r>
      <w:r w:rsidRPr="00345335">
        <w:t xml:space="preserve">. Ako se uvjeti uspostavljeni za ispravan revizijski trag ne ispunjavaju, i to može dovesti do smanjenja ili ukidanja isplata. </w:t>
      </w:r>
    </w:p>
    <w:p w:rsidR="004F4620" w:rsidRPr="00345335" w:rsidRDefault="004F4620" w:rsidP="00345335">
      <w:pPr>
        <w:spacing w:after="0" w:line="240" w:lineRule="auto"/>
        <w:contextualSpacing/>
        <w:jc w:val="both"/>
      </w:pPr>
    </w:p>
    <w:p w:rsidR="004F4620" w:rsidRPr="00345335" w:rsidRDefault="004F4620" w:rsidP="00345335">
      <w:pPr>
        <w:pStyle w:val="Odstavekseznama"/>
        <w:numPr>
          <w:ilvl w:val="0"/>
          <w:numId w:val="9"/>
        </w:numPr>
        <w:ind w:left="360"/>
        <w:jc w:val="both"/>
      </w:pPr>
      <w:r w:rsidRPr="00345335">
        <w:t xml:space="preserve">Svaki </w:t>
      </w:r>
      <w:r w:rsidR="003B0C86" w:rsidRPr="00345335">
        <w:t xml:space="preserve">prihod </w:t>
      </w:r>
      <w:r w:rsidRPr="00345335">
        <w:t xml:space="preserve">koji je naveden u </w:t>
      </w:r>
      <w:r w:rsidR="003B0C86" w:rsidRPr="00345335">
        <w:t xml:space="preserve">Implementacijskom </w:t>
      </w:r>
      <w:r w:rsidRPr="00345335">
        <w:t xml:space="preserve">priručniku za korisnike potpore trebao bi biti uključen u obrazac za prijavu. Svi neto </w:t>
      </w:r>
      <w:r w:rsidR="0077338F" w:rsidRPr="00345335">
        <w:t xml:space="preserve">prihodi </w:t>
      </w:r>
      <w:r w:rsidRPr="00345335">
        <w:t xml:space="preserve">nastali tijekom provedbe projekta trebaju biti prijavljeni u izvješću o napretku kako je opisano u </w:t>
      </w:r>
      <w:r w:rsidR="0077338F" w:rsidRPr="00345335">
        <w:t xml:space="preserve">Implementacijskom </w:t>
      </w:r>
      <w:r w:rsidRPr="00345335">
        <w:t xml:space="preserve">priručniku za korisnike potpore. Vodeći partner projekta obvezno mora obavijestiti Zajedničko tajništvo o svakom </w:t>
      </w:r>
      <w:r w:rsidR="0077338F" w:rsidRPr="00345335">
        <w:t xml:space="preserve">prihodu </w:t>
      </w:r>
      <w:r w:rsidRPr="00345335">
        <w:t xml:space="preserve">koji je nastao unutar tri (3) godine nakon datuma završetka projekta. </w:t>
      </w:r>
      <w:r w:rsidR="0077338F" w:rsidRPr="00345335">
        <w:t>EFRR</w:t>
      </w:r>
      <w:r w:rsidRPr="00345335">
        <w:t xml:space="preserve">-ove </w:t>
      </w:r>
      <w:r w:rsidR="0077338F" w:rsidRPr="00345335">
        <w:t xml:space="preserve">potpore </w:t>
      </w:r>
      <w:r w:rsidRPr="00345335">
        <w:t>koje su ne</w:t>
      </w:r>
      <w:r w:rsidR="00A53EF2" w:rsidRPr="00345335">
        <w:t>o</w:t>
      </w:r>
      <w:r w:rsidRPr="00345335">
        <w:t>pravd</w:t>
      </w:r>
      <w:r w:rsidR="00A53EF2" w:rsidRPr="00345335">
        <w:t>a</w:t>
      </w:r>
      <w:r w:rsidRPr="00345335">
        <w:t>no isplaćene bit će vraćene.</w:t>
      </w:r>
    </w:p>
    <w:p w:rsidR="004F4620" w:rsidRPr="00345335" w:rsidRDefault="004F4620" w:rsidP="00345335">
      <w:pPr>
        <w:spacing w:after="0" w:line="240" w:lineRule="auto"/>
        <w:contextualSpacing/>
        <w:jc w:val="both"/>
      </w:pPr>
    </w:p>
    <w:p w:rsidR="004F4620" w:rsidRPr="00345335" w:rsidRDefault="004F4620" w:rsidP="00345335">
      <w:pPr>
        <w:pStyle w:val="Odstavekseznama"/>
        <w:numPr>
          <w:ilvl w:val="0"/>
          <w:numId w:val="9"/>
        </w:numPr>
        <w:ind w:left="360"/>
        <w:jc w:val="both"/>
      </w:pPr>
      <w:r w:rsidRPr="00345335">
        <w:t xml:space="preserve">Nakon što Zajedničko tajništvo primi izvješće o napretku projekta i uspješno provede provjeru dopustivosti, sadržaja i financijsku procjenu izvješća o napretku projekta te nakon što ga </w:t>
      </w:r>
      <w:r w:rsidR="0066679C" w:rsidRPr="00345335">
        <w:t xml:space="preserve">Upravljačko </w:t>
      </w:r>
      <w:r w:rsidRPr="00345335">
        <w:t xml:space="preserve">tijelo odobri, </w:t>
      </w:r>
      <w:r w:rsidR="0066679C" w:rsidRPr="00345335">
        <w:t>Tijelo za ovjeravanje</w:t>
      </w:r>
      <w:r w:rsidRPr="00345335">
        <w:t xml:space="preserve"> isplatit će priznatu </w:t>
      </w:r>
      <w:r w:rsidR="0066679C" w:rsidRPr="00345335">
        <w:t>EFRR</w:t>
      </w:r>
      <w:r w:rsidRPr="00345335">
        <w:t xml:space="preserve">-ovu </w:t>
      </w:r>
      <w:r w:rsidR="0066679C" w:rsidRPr="00345335">
        <w:t xml:space="preserve">potporu Vodećem </w:t>
      </w:r>
      <w:r w:rsidRPr="00345335">
        <w:t xml:space="preserve">partneru bez odlaganja i unutar 90 kalendarskih dana, ako su sredstva dostupna. Sredstva će biti isplaćena isključivo u EUR i prenesena na račun koji je naveo </w:t>
      </w:r>
      <w:r w:rsidR="0066679C" w:rsidRPr="00345335">
        <w:t xml:space="preserve">Vodeći </w:t>
      </w:r>
      <w:r w:rsidRPr="00345335">
        <w:t xml:space="preserve">partner ili u iznimnim slučajevima projektni partner. Svaki rizik </w:t>
      </w:r>
      <w:r w:rsidR="00E91529" w:rsidRPr="00345335">
        <w:t>konverzije</w:t>
      </w:r>
      <w:r w:rsidRPr="00345335">
        <w:t xml:space="preserve"> tečaja snosit će isključivo </w:t>
      </w:r>
      <w:r w:rsidR="00E91529" w:rsidRPr="00345335">
        <w:t xml:space="preserve">Vodeći </w:t>
      </w:r>
      <w:r w:rsidRPr="00345335">
        <w:t>partner.</w:t>
      </w:r>
    </w:p>
    <w:p w:rsidR="004F4620" w:rsidRPr="00345335" w:rsidRDefault="004F4620" w:rsidP="00345335">
      <w:pPr>
        <w:spacing w:after="0" w:line="240" w:lineRule="auto"/>
        <w:contextualSpacing/>
        <w:jc w:val="both"/>
      </w:pPr>
    </w:p>
    <w:p w:rsidR="004F4620" w:rsidRPr="00345335" w:rsidRDefault="004F4620" w:rsidP="00345335">
      <w:pPr>
        <w:pStyle w:val="Odstavekseznama"/>
        <w:numPr>
          <w:ilvl w:val="0"/>
          <w:numId w:val="9"/>
        </w:numPr>
        <w:ind w:left="360"/>
        <w:jc w:val="both"/>
      </w:pPr>
      <w:r w:rsidRPr="00345335">
        <w:t xml:space="preserve">Upravljačko tijelo ima pravo zadržati svaku </w:t>
      </w:r>
      <w:r w:rsidR="00205753" w:rsidRPr="00345335">
        <w:t>EFRR</w:t>
      </w:r>
      <w:r w:rsidRPr="00345335">
        <w:t xml:space="preserve">-ovu isplatu dok se ne razjasne sva nejasna pitanja u vezi s provedbom, upravljanjem i </w:t>
      </w:r>
      <w:r w:rsidR="00A26971" w:rsidRPr="00345335">
        <w:t>izvještavanjem</w:t>
      </w:r>
      <w:r w:rsidRPr="00345335">
        <w:t xml:space="preserve">. Također ima pravo odbiti svaki </w:t>
      </w:r>
      <w:r w:rsidR="00515811" w:rsidRPr="00345335">
        <w:t xml:space="preserve">neprihvatljiv </w:t>
      </w:r>
      <w:r w:rsidRPr="00345335">
        <w:t xml:space="preserve">trošak pronađen tijekom postupka potvrde te shodno tomu proporcionalno smanjiti </w:t>
      </w:r>
      <w:r w:rsidR="003A68D7" w:rsidRPr="00345335">
        <w:t>EFRR</w:t>
      </w:r>
      <w:r w:rsidRPr="00345335">
        <w:t>-ovo sufinanciranje projekta.</w:t>
      </w:r>
    </w:p>
    <w:p w:rsidR="004F4620" w:rsidRPr="00345335" w:rsidRDefault="004F4620" w:rsidP="00345335">
      <w:pPr>
        <w:spacing w:after="0" w:line="240" w:lineRule="auto"/>
        <w:contextualSpacing/>
        <w:jc w:val="both"/>
      </w:pPr>
    </w:p>
    <w:p w:rsidR="004F4620" w:rsidRPr="00345335" w:rsidRDefault="004F4620" w:rsidP="00345335">
      <w:pPr>
        <w:pStyle w:val="Odstavekseznama"/>
        <w:numPr>
          <w:ilvl w:val="0"/>
          <w:numId w:val="9"/>
        </w:numPr>
        <w:ind w:left="360"/>
        <w:jc w:val="both"/>
      </w:pPr>
      <w:r w:rsidRPr="00345335">
        <w:t xml:space="preserve">Vodeći partner/projektni partneri obvezni su koristiti vlastito </w:t>
      </w:r>
      <w:r w:rsidR="003A68D7" w:rsidRPr="00345335">
        <w:t xml:space="preserve">prihvatljivo  </w:t>
      </w:r>
      <w:r w:rsidRPr="00345335">
        <w:t xml:space="preserve">nacionalno financiranje kako je navedeno u obrascu za prijavu te su obvezni osigurati ispravnu akumulaciju vlastitog </w:t>
      </w:r>
      <w:r w:rsidR="00F5136E" w:rsidRPr="00345335">
        <w:t xml:space="preserve">prihvatljivog </w:t>
      </w:r>
      <w:r w:rsidRPr="00345335">
        <w:t>nacionalnog financiranja tijekom provedbe projekta i odmah obavijestiti Zajedničko tajništvo ako akumulacija iz određenog razloga nije moguća i slijediti upute Zajedničkog tajništva za taj slučaj.</w:t>
      </w:r>
    </w:p>
    <w:p w:rsidR="004F4620" w:rsidRDefault="004F4620" w:rsidP="00345335">
      <w:pPr>
        <w:spacing w:after="0" w:line="240" w:lineRule="auto"/>
        <w:contextualSpacing/>
        <w:jc w:val="both"/>
      </w:pPr>
    </w:p>
    <w:p w:rsidR="00345335" w:rsidRPr="00345335" w:rsidRDefault="00345335" w:rsidP="00345335">
      <w:pPr>
        <w:spacing w:after="0" w:line="240" w:lineRule="auto"/>
        <w:contextualSpacing/>
        <w:jc w:val="both"/>
      </w:pPr>
    </w:p>
    <w:p w:rsidR="004F4620" w:rsidRPr="00345335" w:rsidRDefault="004F4620" w:rsidP="00345335">
      <w:pPr>
        <w:spacing w:after="0" w:line="240" w:lineRule="auto"/>
        <w:contextualSpacing/>
        <w:jc w:val="center"/>
        <w:rPr>
          <w:b/>
        </w:rPr>
      </w:pPr>
      <w:r w:rsidRPr="00345335">
        <w:rPr>
          <w:b/>
        </w:rPr>
        <w:t>Članak 5.</w:t>
      </w:r>
    </w:p>
    <w:p w:rsidR="004F4620" w:rsidRPr="00345335" w:rsidRDefault="004F4620" w:rsidP="00345335">
      <w:pPr>
        <w:spacing w:after="0" w:line="240" w:lineRule="auto"/>
        <w:contextualSpacing/>
        <w:jc w:val="center"/>
        <w:rPr>
          <w:b/>
        </w:rPr>
      </w:pPr>
      <w:r w:rsidRPr="00345335">
        <w:rPr>
          <w:b/>
        </w:rPr>
        <w:t xml:space="preserve">Obveze i odgovornosti </w:t>
      </w:r>
      <w:r w:rsidR="00506347" w:rsidRPr="00345335">
        <w:rPr>
          <w:b/>
        </w:rPr>
        <w:t xml:space="preserve">Vodećeg </w:t>
      </w:r>
      <w:r w:rsidRPr="00345335">
        <w:rPr>
          <w:b/>
        </w:rPr>
        <w:t>partnera</w:t>
      </w:r>
    </w:p>
    <w:p w:rsidR="004F4620" w:rsidRPr="00345335" w:rsidRDefault="004F4620" w:rsidP="00345335">
      <w:pPr>
        <w:spacing w:after="0" w:line="240" w:lineRule="auto"/>
        <w:contextualSpacing/>
        <w:jc w:val="both"/>
      </w:pPr>
    </w:p>
    <w:p w:rsidR="004F4620" w:rsidRPr="00345335" w:rsidRDefault="004F4620" w:rsidP="00345335">
      <w:pPr>
        <w:pStyle w:val="Odstavekseznama"/>
        <w:numPr>
          <w:ilvl w:val="0"/>
          <w:numId w:val="10"/>
        </w:numPr>
        <w:ind w:left="360"/>
        <w:jc w:val="both"/>
      </w:pPr>
      <w:r w:rsidRPr="00345335">
        <w:t>Vodeći partner sam snosi cjelokupnu financijsku i pravnu odgovornost za projekt i projektne partnere.</w:t>
      </w:r>
    </w:p>
    <w:p w:rsidR="004F4620" w:rsidRPr="00345335" w:rsidRDefault="004F4620" w:rsidP="00345335">
      <w:pPr>
        <w:pStyle w:val="Odstavekseznama"/>
        <w:ind w:left="360"/>
        <w:jc w:val="both"/>
      </w:pPr>
    </w:p>
    <w:p w:rsidR="004F4620" w:rsidRPr="00345335" w:rsidRDefault="004F4620" w:rsidP="00345335">
      <w:pPr>
        <w:pStyle w:val="Odstavekseznama"/>
        <w:numPr>
          <w:ilvl w:val="0"/>
          <w:numId w:val="10"/>
        </w:numPr>
        <w:ind w:left="360"/>
        <w:jc w:val="both"/>
      </w:pPr>
      <w:r w:rsidRPr="00345335">
        <w:t xml:space="preserve">Vodeći partner osigurava da se projekt provodi i da se njime upravlja u skladu s važećim uredbama, kao i horizontalnim </w:t>
      </w:r>
      <w:r w:rsidR="00AA2955" w:rsidRPr="00345335">
        <w:t xml:space="preserve">pitanjima </w:t>
      </w:r>
      <w:r w:rsidRPr="00345335">
        <w:t xml:space="preserve">Europske unije, </w:t>
      </w:r>
      <w:r w:rsidR="00AA2955" w:rsidRPr="00345335">
        <w:t xml:space="preserve">Implementacijskim </w:t>
      </w:r>
      <w:r w:rsidRPr="00345335">
        <w:t>priručnikom za korisnike potpore i važećim nacionalnim propisima.</w:t>
      </w:r>
    </w:p>
    <w:p w:rsidR="004F4620" w:rsidRPr="00345335" w:rsidRDefault="004F4620" w:rsidP="00345335">
      <w:pPr>
        <w:spacing w:after="0" w:line="240" w:lineRule="auto"/>
        <w:contextualSpacing/>
        <w:jc w:val="both"/>
      </w:pPr>
    </w:p>
    <w:p w:rsidR="004F4620" w:rsidRPr="00345335" w:rsidRDefault="004F4620" w:rsidP="00345335">
      <w:pPr>
        <w:pStyle w:val="Odstavekseznama"/>
        <w:numPr>
          <w:ilvl w:val="0"/>
          <w:numId w:val="10"/>
        </w:numPr>
        <w:ind w:left="360"/>
        <w:jc w:val="both"/>
      </w:pPr>
      <w:r w:rsidRPr="00345335">
        <w:t>Vodeći partner jamči da ima pravo zastupati projekte partnere koji sudjeluju u projektu te snosi isključivu odgovornost za dostavljanje</w:t>
      </w:r>
      <w:r w:rsidR="006100C2" w:rsidRPr="00345335">
        <w:t xml:space="preserve"> kao i za primanje,</w:t>
      </w:r>
      <w:r w:rsidRPr="00345335">
        <w:t xml:space="preserve"> svih </w:t>
      </w:r>
      <w:r w:rsidR="006100C2" w:rsidRPr="00345335">
        <w:t xml:space="preserve">relevantnih </w:t>
      </w:r>
      <w:r w:rsidRPr="00345335">
        <w:t xml:space="preserve">informacija za upravljanje projektom </w:t>
      </w:r>
      <w:r w:rsidR="006100C2" w:rsidRPr="00345335">
        <w:t xml:space="preserve">prema </w:t>
      </w:r>
      <w:r w:rsidRPr="00345335">
        <w:t xml:space="preserve">projektnim partnerima, te je/će </w:t>
      </w:r>
      <w:r w:rsidR="006100C2" w:rsidRPr="00345335">
        <w:t xml:space="preserve">utvrditi </w:t>
      </w:r>
      <w:r w:rsidRPr="00345335">
        <w:t xml:space="preserve">raspodjelu uzajamnih </w:t>
      </w:r>
      <w:r w:rsidRPr="00345335">
        <w:lastRenderedPageBreak/>
        <w:t>odgovornosti projektnih partnera u obliku Ugovora o partnerstvu. Upravljačko tijelo nije strana u Ugovoru o partnerstvu ili u sporovima koji mogu nastati između ugovornih strana ili u pogledu trećih strana.</w:t>
      </w:r>
    </w:p>
    <w:p w:rsidR="004F4620" w:rsidRPr="00345335" w:rsidRDefault="004F4620" w:rsidP="00345335">
      <w:pPr>
        <w:pStyle w:val="Odstavekseznama"/>
        <w:ind w:left="360"/>
      </w:pPr>
    </w:p>
    <w:p w:rsidR="004F4620" w:rsidRPr="00345335" w:rsidRDefault="004F4620" w:rsidP="00345335">
      <w:pPr>
        <w:pStyle w:val="Odstavekseznama"/>
        <w:numPr>
          <w:ilvl w:val="0"/>
          <w:numId w:val="10"/>
        </w:numPr>
        <w:ind w:left="360"/>
        <w:jc w:val="both"/>
      </w:pPr>
      <w:r w:rsidRPr="00345335">
        <w:t xml:space="preserve">Vodeći partner izravno je </w:t>
      </w:r>
      <w:r w:rsidR="00A26971" w:rsidRPr="00345335">
        <w:t>od</w:t>
      </w:r>
      <w:r w:rsidRPr="00345335">
        <w:t xml:space="preserve">govoran za prosljeđivanje svih relevantnih informacija i smjernica </w:t>
      </w:r>
      <w:r w:rsidR="006100C2" w:rsidRPr="00345335">
        <w:t xml:space="preserve">prema projektnim partnerima </w:t>
      </w:r>
      <w:r w:rsidRPr="00345335">
        <w:t xml:space="preserve">koje primi od </w:t>
      </w:r>
      <w:r w:rsidR="00A26971" w:rsidRPr="00345335">
        <w:t>U</w:t>
      </w:r>
      <w:r w:rsidRPr="00345335">
        <w:t>pravljačkog tijela i Zajedničkog tajništva.</w:t>
      </w:r>
    </w:p>
    <w:p w:rsidR="004F4620" w:rsidRPr="00345335" w:rsidRDefault="004F4620" w:rsidP="00345335">
      <w:pPr>
        <w:spacing w:after="0" w:line="240" w:lineRule="auto"/>
        <w:contextualSpacing/>
        <w:jc w:val="both"/>
      </w:pPr>
    </w:p>
    <w:p w:rsidR="004F4620" w:rsidRPr="00345335" w:rsidRDefault="004F4620" w:rsidP="00345335">
      <w:pPr>
        <w:pStyle w:val="Odstavekseznama"/>
        <w:numPr>
          <w:ilvl w:val="0"/>
          <w:numId w:val="10"/>
        </w:numPr>
        <w:ind w:left="360"/>
        <w:jc w:val="both"/>
      </w:pPr>
      <w:r w:rsidRPr="00345335">
        <w:t xml:space="preserve">Nadalje, </w:t>
      </w:r>
      <w:r w:rsidR="006100C2" w:rsidRPr="00345335">
        <w:t xml:space="preserve">Vodeći </w:t>
      </w:r>
      <w:r w:rsidRPr="00345335">
        <w:t xml:space="preserve">partner jamči da su sve obvezne dozvole potrebne za provedbu projekta koje propisuju nacionalni ili EU propisi </w:t>
      </w:r>
      <w:r w:rsidR="0079177E" w:rsidRPr="00345335">
        <w:t xml:space="preserve">dobivene na vrijeme </w:t>
      </w:r>
      <w:r w:rsidRPr="00345335">
        <w:t xml:space="preserve">te da je u skladu s donesenom odlukom ispunjen svaki preduvjet koji je odredilo </w:t>
      </w:r>
      <w:r w:rsidR="0079177E" w:rsidRPr="00345335">
        <w:t xml:space="preserve">Upravljačko </w:t>
      </w:r>
      <w:r w:rsidRPr="00345335">
        <w:t>tijelo.</w:t>
      </w:r>
    </w:p>
    <w:p w:rsidR="004F4620" w:rsidRPr="00345335" w:rsidRDefault="004F4620" w:rsidP="00345335">
      <w:pPr>
        <w:pStyle w:val="Odstavekseznama"/>
        <w:ind w:left="360"/>
      </w:pPr>
    </w:p>
    <w:p w:rsidR="004F4620" w:rsidRPr="00345335" w:rsidRDefault="004F4620" w:rsidP="00345335">
      <w:pPr>
        <w:pStyle w:val="Odstavekseznama"/>
        <w:numPr>
          <w:ilvl w:val="0"/>
          <w:numId w:val="10"/>
        </w:numPr>
        <w:ind w:left="360"/>
        <w:jc w:val="both"/>
      </w:pPr>
      <w:r w:rsidRPr="00345335">
        <w:t xml:space="preserve">Štoviše, </w:t>
      </w:r>
      <w:r w:rsidR="0079177E" w:rsidRPr="00345335">
        <w:t xml:space="preserve">Vodeći </w:t>
      </w:r>
      <w:r w:rsidRPr="00345335">
        <w:t>partner jamči da je cijelo partnerstvo u skladu sa svim uvjetima koje propisuje važeći pravni okvir.</w:t>
      </w:r>
    </w:p>
    <w:p w:rsidR="004F4620" w:rsidRPr="00345335" w:rsidRDefault="004F4620" w:rsidP="00345335">
      <w:pPr>
        <w:spacing w:after="0" w:line="240" w:lineRule="auto"/>
        <w:contextualSpacing/>
        <w:jc w:val="both"/>
      </w:pPr>
    </w:p>
    <w:p w:rsidR="004F4620" w:rsidRPr="00345335" w:rsidRDefault="004F4620" w:rsidP="00345335">
      <w:pPr>
        <w:pStyle w:val="Odstavekseznama"/>
        <w:numPr>
          <w:ilvl w:val="0"/>
          <w:numId w:val="10"/>
        </w:numPr>
        <w:spacing w:after="120"/>
        <w:ind w:left="357" w:hanging="357"/>
        <w:contextualSpacing w:val="0"/>
        <w:jc w:val="both"/>
      </w:pPr>
      <w:r w:rsidRPr="00345335">
        <w:t xml:space="preserve">Vodeći partner odgovoran je </w:t>
      </w:r>
      <w:r w:rsidR="0079177E" w:rsidRPr="00345335">
        <w:t xml:space="preserve">Upravljačkom </w:t>
      </w:r>
      <w:r w:rsidRPr="00345335">
        <w:t>tijelu za sljedeće:</w:t>
      </w:r>
    </w:p>
    <w:p w:rsidR="004F4620" w:rsidRPr="00345335" w:rsidRDefault="004F4620" w:rsidP="00345335">
      <w:pPr>
        <w:pStyle w:val="Odstavekseznama"/>
        <w:numPr>
          <w:ilvl w:val="1"/>
          <w:numId w:val="7"/>
        </w:numPr>
        <w:spacing w:after="120"/>
        <w:ind w:left="709" w:hanging="284"/>
        <w:contextualSpacing w:val="0"/>
        <w:jc w:val="both"/>
      </w:pPr>
      <w:r w:rsidRPr="00345335">
        <w:t xml:space="preserve">osiguranje da svi projektni partneri imaju pravni status koji je u skladu s definicijom u programu </w:t>
      </w:r>
      <w:proofErr w:type="spellStart"/>
      <w:r w:rsidRPr="00345335">
        <w:t>Interreg</w:t>
      </w:r>
      <w:proofErr w:type="spellEnd"/>
      <w:r w:rsidRPr="00345335">
        <w:t xml:space="preserve"> V-A SI-HR i </w:t>
      </w:r>
      <w:r w:rsidR="00A43A84" w:rsidRPr="00345335">
        <w:t xml:space="preserve">Implementacijskom </w:t>
      </w:r>
      <w:r w:rsidRPr="00345335">
        <w:t>priručniku za korisnike potpora koji su na snazi na datum potpisivanja Ugovora;</w:t>
      </w:r>
    </w:p>
    <w:p w:rsidR="004F4620" w:rsidRPr="00345335" w:rsidRDefault="004F4620" w:rsidP="00345335">
      <w:pPr>
        <w:pStyle w:val="Odstavekseznama"/>
        <w:numPr>
          <w:ilvl w:val="1"/>
          <w:numId w:val="7"/>
        </w:numPr>
        <w:spacing w:after="120"/>
        <w:ind w:left="709" w:hanging="284"/>
        <w:contextualSpacing w:val="0"/>
        <w:jc w:val="both"/>
      </w:pPr>
      <w:r w:rsidRPr="00345335">
        <w:t xml:space="preserve">osiguranje da su svi troškovi koji su prijavljeni u izvješću o napretku odobreni u skladu s postupcima navedenim u </w:t>
      </w:r>
      <w:r w:rsidR="00FB22A5" w:rsidRPr="00345335">
        <w:t xml:space="preserve">Implementacijskom </w:t>
      </w:r>
      <w:r w:rsidRPr="00345335">
        <w:t>priručniku za korisnike potpora;</w:t>
      </w:r>
    </w:p>
    <w:p w:rsidR="004F4620" w:rsidRPr="00345335" w:rsidRDefault="004F4620" w:rsidP="00345335">
      <w:pPr>
        <w:pStyle w:val="Odstavekseznama"/>
        <w:numPr>
          <w:ilvl w:val="1"/>
          <w:numId w:val="7"/>
        </w:numPr>
        <w:spacing w:after="120"/>
        <w:ind w:left="709" w:hanging="284"/>
        <w:contextualSpacing w:val="0"/>
        <w:jc w:val="both"/>
      </w:pPr>
      <w:r w:rsidRPr="00345335">
        <w:t>osiguranje da projektni partneri ispunjavaju svoje obveze propisane ovim Ugovorom te da poštuju zahtjeve navedene u članku 1. Pravni okvir;</w:t>
      </w:r>
    </w:p>
    <w:p w:rsidR="004F4620" w:rsidRPr="00345335" w:rsidRDefault="004F4620" w:rsidP="00345335">
      <w:pPr>
        <w:pStyle w:val="Odstavekseznama"/>
        <w:numPr>
          <w:ilvl w:val="1"/>
          <w:numId w:val="7"/>
        </w:numPr>
        <w:spacing w:after="120"/>
        <w:ind w:left="709" w:hanging="284"/>
        <w:contextualSpacing w:val="0"/>
        <w:jc w:val="both"/>
      </w:pPr>
      <w:r w:rsidRPr="00345335">
        <w:t xml:space="preserve">odgovoran je u slučaju da on ili projektni partneri ne ispunjavaju obveze iz ovog Ugovora; </w:t>
      </w:r>
    </w:p>
    <w:p w:rsidR="004F4620" w:rsidRPr="00345335" w:rsidRDefault="004F4620" w:rsidP="00345335">
      <w:pPr>
        <w:pStyle w:val="Odstavekseznama"/>
        <w:numPr>
          <w:ilvl w:val="1"/>
          <w:numId w:val="7"/>
        </w:numPr>
        <w:spacing w:after="120"/>
        <w:ind w:left="709" w:hanging="284"/>
        <w:contextualSpacing w:val="0"/>
        <w:jc w:val="both"/>
      </w:pPr>
      <w:r w:rsidRPr="00345335">
        <w:t>održavanje i ažuriranje popisa tijela koja čuvaju dokumentaciju u revizorskom tragu;</w:t>
      </w:r>
    </w:p>
    <w:p w:rsidR="004F4620" w:rsidRPr="00345335" w:rsidRDefault="004F4620" w:rsidP="00345335">
      <w:pPr>
        <w:pStyle w:val="Odstavekseznama"/>
        <w:numPr>
          <w:ilvl w:val="1"/>
          <w:numId w:val="7"/>
        </w:numPr>
        <w:spacing w:after="120"/>
        <w:ind w:left="709" w:hanging="284"/>
        <w:contextualSpacing w:val="0"/>
        <w:jc w:val="both"/>
      </w:pPr>
      <w:r w:rsidRPr="00345335">
        <w:t>osiguranje da se pravila o državnoj potpori/</w:t>
      </w:r>
      <w:r w:rsidR="00FB22A5" w:rsidRPr="00345335">
        <w:t>potporama male vrijednosti</w:t>
      </w:r>
      <w:r w:rsidRPr="00345335">
        <w:t xml:space="preserve"> primjenjuju kako je navedeno u </w:t>
      </w:r>
      <w:r w:rsidR="007026CC" w:rsidRPr="00345335">
        <w:t xml:space="preserve">Implementacijskom </w:t>
      </w:r>
      <w:r w:rsidRPr="00345335">
        <w:t xml:space="preserve">priručniku za korisnike potpora te da svaka organizacija koja prima </w:t>
      </w:r>
      <w:r w:rsidR="007026CC" w:rsidRPr="00345335">
        <w:t>EFRR</w:t>
      </w:r>
      <w:r w:rsidRPr="00345335">
        <w:t xml:space="preserve">-ove i nacionalne javne </w:t>
      </w:r>
      <w:r w:rsidR="007026CC" w:rsidRPr="00345335">
        <w:t xml:space="preserve">potpore </w:t>
      </w:r>
      <w:r w:rsidRPr="00345335">
        <w:t xml:space="preserve">u okviru programa </w:t>
      </w:r>
      <w:proofErr w:type="spellStart"/>
      <w:r w:rsidRPr="00345335">
        <w:t>Interreg</w:t>
      </w:r>
      <w:proofErr w:type="spellEnd"/>
      <w:r w:rsidRPr="00345335">
        <w:t xml:space="preserve"> V-A SI-HR ispunjava uvjete pravila o državnoj potpori/</w:t>
      </w:r>
      <w:r w:rsidR="007026CC" w:rsidRPr="00345335">
        <w:t xml:space="preserve">potporama male vrijednosti   </w:t>
      </w:r>
      <w:r w:rsidRPr="00345335">
        <w:t xml:space="preserve">(u suprotnom slučaju, </w:t>
      </w:r>
      <w:r w:rsidR="007026CC" w:rsidRPr="00345335">
        <w:t xml:space="preserve">Upravljačko </w:t>
      </w:r>
      <w:r w:rsidRPr="00345335">
        <w:t xml:space="preserve">tijelo ima pravo tražiti povrat </w:t>
      </w:r>
      <w:r w:rsidR="007026CC" w:rsidRPr="00345335">
        <w:t>EFRR</w:t>
      </w:r>
      <w:r w:rsidRPr="00345335">
        <w:t>-ovih sredstava koja su neopravdano isplaćena);</w:t>
      </w:r>
    </w:p>
    <w:p w:rsidR="004F4620" w:rsidRPr="00345335" w:rsidRDefault="004F4620" w:rsidP="00345335">
      <w:pPr>
        <w:pStyle w:val="Odstavekseznama"/>
        <w:numPr>
          <w:ilvl w:val="1"/>
          <w:numId w:val="7"/>
        </w:numPr>
        <w:spacing w:after="120"/>
        <w:ind w:left="709" w:hanging="284"/>
        <w:contextualSpacing w:val="0"/>
        <w:jc w:val="both"/>
      </w:pPr>
      <w:r w:rsidRPr="00345335">
        <w:t xml:space="preserve">osiguranje da su rezervirani odgovarajući resursi i </w:t>
      </w:r>
      <w:r w:rsidR="00E20A76" w:rsidRPr="00345335">
        <w:t xml:space="preserve">vrijeme </w:t>
      </w:r>
      <w:r w:rsidRPr="00345335">
        <w:t>za mjere završavanja prije stvarnog datuma za završetak</w:t>
      </w:r>
      <w:r w:rsidR="00E20A76" w:rsidRPr="00345335">
        <w:t xml:space="preserve"> projekta</w:t>
      </w:r>
      <w:r w:rsidRPr="00345335">
        <w:t xml:space="preserve"> koji se navodi u odobrenom obrascu za prijavu, u preambuli.</w:t>
      </w:r>
    </w:p>
    <w:p w:rsidR="004F4620" w:rsidRPr="00345335" w:rsidRDefault="004F4620" w:rsidP="00345335">
      <w:pPr>
        <w:spacing w:after="0" w:line="240" w:lineRule="auto"/>
        <w:contextualSpacing/>
        <w:jc w:val="both"/>
      </w:pPr>
      <w:bookmarkStart w:id="0" w:name="_GoBack"/>
      <w:bookmarkEnd w:id="0"/>
    </w:p>
    <w:p w:rsidR="004F4620" w:rsidRPr="00345335" w:rsidRDefault="00FD4379" w:rsidP="00345335">
      <w:pPr>
        <w:pStyle w:val="Odstavekseznama"/>
        <w:numPr>
          <w:ilvl w:val="0"/>
          <w:numId w:val="10"/>
        </w:numPr>
        <w:ind w:left="360"/>
        <w:jc w:val="both"/>
      </w:pPr>
      <w:proofErr w:type="spellStart"/>
      <w:r>
        <w:rPr>
          <w:rFonts w:ascii="Calibri" w:hAnsi="Calibri" w:cs="Calibri"/>
          <w:color w:val="000000"/>
          <w:lang w:val="sl-SI" w:bidi="ar-SA"/>
        </w:rPr>
        <w:t>Ako</w:t>
      </w:r>
      <w:proofErr w:type="spellEnd"/>
      <w:r>
        <w:rPr>
          <w:rFonts w:ascii="Calibri" w:hAnsi="Calibri" w:cs="Calibri"/>
          <w:color w:val="000000"/>
          <w:lang w:val="sl-SI" w:bidi="ar-SA"/>
        </w:rPr>
        <w:t xml:space="preserve"> </w:t>
      </w:r>
      <w:proofErr w:type="spellStart"/>
      <w:r>
        <w:rPr>
          <w:rFonts w:ascii="Calibri" w:hAnsi="Calibri" w:cs="Calibri"/>
          <w:color w:val="000000"/>
          <w:lang w:val="sl-SI" w:bidi="ar-SA"/>
        </w:rPr>
        <w:t>Upravljačko</w:t>
      </w:r>
      <w:proofErr w:type="spellEnd"/>
      <w:r>
        <w:rPr>
          <w:rFonts w:ascii="Calibri" w:hAnsi="Calibri" w:cs="Calibri"/>
          <w:color w:val="000000"/>
          <w:lang w:val="sl-SI" w:bidi="ar-SA"/>
        </w:rPr>
        <w:t xml:space="preserve"> </w:t>
      </w:r>
      <w:proofErr w:type="spellStart"/>
      <w:r>
        <w:rPr>
          <w:rFonts w:ascii="Calibri" w:hAnsi="Calibri" w:cs="Calibri"/>
          <w:color w:val="000000"/>
          <w:lang w:val="sl-SI" w:bidi="ar-SA"/>
        </w:rPr>
        <w:t>tijelo</w:t>
      </w:r>
      <w:proofErr w:type="spellEnd"/>
      <w:r>
        <w:rPr>
          <w:rFonts w:ascii="Calibri" w:hAnsi="Calibri" w:cs="Calibri"/>
          <w:color w:val="000000"/>
          <w:lang w:val="sl-SI" w:bidi="ar-SA"/>
        </w:rPr>
        <w:t xml:space="preserve"> </w:t>
      </w:r>
      <w:proofErr w:type="spellStart"/>
      <w:r>
        <w:rPr>
          <w:rFonts w:ascii="Calibri" w:hAnsi="Calibri" w:cs="Calibri"/>
          <w:color w:val="000000"/>
          <w:lang w:val="sl-SI" w:bidi="ar-SA"/>
        </w:rPr>
        <w:t>zahtijeva</w:t>
      </w:r>
      <w:proofErr w:type="spellEnd"/>
      <w:r>
        <w:rPr>
          <w:rFonts w:ascii="Calibri" w:hAnsi="Calibri" w:cs="Calibri"/>
          <w:color w:val="000000"/>
          <w:lang w:val="sl-SI" w:bidi="ar-SA"/>
        </w:rPr>
        <w:t xml:space="preserve"> </w:t>
      </w:r>
      <w:proofErr w:type="spellStart"/>
      <w:r>
        <w:rPr>
          <w:rFonts w:ascii="Calibri" w:hAnsi="Calibri" w:cs="Calibri"/>
          <w:color w:val="000000"/>
          <w:lang w:val="sl-SI" w:bidi="ar-SA"/>
        </w:rPr>
        <w:t>povrat</w:t>
      </w:r>
      <w:proofErr w:type="spellEnd"/>
      <w:r>
        <w:rPr>
          <w:rFonts w:ascii="Calibri" w:hAnsi="Calibri" w:cs="Calibri"/>
          <w:color w:val="000000"/>
          <w:lang w:val="sl-SI" w:bidi="ar-SA"/>
        </w:rPr>
        <w:t xml:space="preserve"> </w:t>
      </w:r>
      <w:proofErr w:type="spellStart"/>
      <w:r>
        <w:rPr>
          <w:rFonts w:ascii="Calibri" w:hAnsi="Calibri" w:cs="Calibri"/>
          <w:color w:val="000000"/>
          <w:lang w:val="sl-SI" w:bidi="ar-SA"/>
        </w:rPr>
        <w:t>potpore</w:t>
      </w:r>
      <w:proofErr w:type="spellEnd"/>
      <w:r>
        <w:rPr>
          <w:rFonts w:ascii="Calibri" w:hAnsi="Calibri" w:cs="Calibri"/>
          <w:color w:val="000000"/>
          <w:lang w:val="sl-SI" w:bidi="ar-SA"/>
        </w:rPr>
        <w:t xml:space="preserve"> u skladu s </w:t>
      </w:r>
      <w:proofErr w:type="spellStart"/>
      <w:r>
        <w:rPr>
          <w:rFonts w:ascii="Calibri" w:hAnsi="Calibri" w:cs="Calibri"/>
          <w:color w:val="000000"/>
          <w:lang w:val="sl-SI" w:bidi="ar-SA"/>
        </w:rPr>
        <w:t>ovim</w:t>
      </w:r>
      <w:proofErr w:type="spellEnd"/>
      <w:r>
        <w:rPr>
          <w:rFonts w:ascii="Calibri" w:hAnsi="Calibri" w:cs="Calibri"/>
          <w:color w:val="000000"/>
          <w:lang w:val="sl-SI" w:bidi="ar-SA"/>
        </w:rPr>
        <w:t xml:space="preserve"> Ugovorom, </w:t>
      </w:r>
      <w:proofErr w:type="spellStart"/>
      <w:r>
        <w:rPr>
          <w:rFonts w:ascii="Calibri" w:hAnsi="Calibri" w:cs="Calibri"/>
          <w:color w:val="000000"/>
          <w:lang w:val="sl-SI" w:bidi="ar-SA"/>
        </w:rPr>
        <w:t>Vodeći</w:t>
      </w:r>
      <w:proofErr w:type="spellEnd"/>
      <w:r>
        <w:rPr>
          <w:rFonts w:ascii="Calibri" w:hAnsi="Calibri" w:cs="Calibri"/>
          <w:color w:val="000000"/>
          <w:lang w:val="sl-SI" w:bidi="ar-SA"/>
        </w:rPr>
        <w:t xml:space="preserve"> partner </w:t>
      </w:r>
      <w:proofErr w:type="spellStart"/>
      <w:r>
        <w:rPr>
          <w:rFonts w:ascii="Calibri" w:hAnsi="Calibri" w:cs="Calibri"/>
          <w:color w:val="000000"/>
          <w:lang w:val="sl-SI" w:bidi="ar-SA"/>
        </w:rPr>
        <w:t>odgovara</w:t>
      </w:r>
      <w:proofErr w:type="spellEnd"/>
      <w:r>
        <w:rPr>
          <w:rFonts w:ascii="Calibri" w:hAnsi="Calibri" w:cs="Calibri"/>
          <w:color w:val="000000"/>
          <w:lang w:val="sl-SI" w:bidi="ar-SA"/>
        </w:rPr>
        <w:t xml:space="preserve"> </w:t>
      </w:r>
      <w:proofErr w:type="spellStart"/>
      <w:r>
        <w:rPr>
          <w:rFonts w:ascii="Calibri" w:hAnsi="Calibri" w:cs="Calibri"/>
          <w:color w:val="000000"/>
          <w:lang w:val="sl-SI" w:bidi="ar-SA"/>
        </w:rPr>
        <w:t>Upravljačkom</w:t>
      </w:r>
      <w:proofErr w:type="spellEnd"/>
      <w:r>
        <w:rPr>
          <w:rFonts w:ascii="Calibri" w:hAnsi="Calibri" w:cs="Calibri"/>
          <w:color w:val="000000"/>
          <w:lang w:val="sl-SI" w:bidi="ar-SA"/>
        </w:rPr>
        <w:t xml:space="preserve"> </w:t>
      </w:r>
      <w:proofErr w:type="spellStart"/>
      <w:r>
        <w:rPr>
          <w:rFonts w:ascii="Calibri" w:hAnsi="Calibri" w:cs="Calibri"/>
          <w:color w:val="000000"/>
          <w:lang w:val="sl-SI" w:bidi="ar-SA"/>
        </w:rPr>
        <w:t>tijelu</w:t>
      </w:r>
      <w:proofErr w:type="spellEnd"/>
      <w:r>
        <w:rPr>
          <w:rFonts w:ascii="Calibri" w:hAnsi="Calibri" w:cs="Calibri"/>
          <w:color w:val="000000"/>
          <w:lang w:val="sl-SI" w:bidi="ar-SA"/>
        </w:rPr>
        <w:t xml:space="preserve"> za </w:t>
      </w:r>
      <w:proofErr w:type="spellStart"/>
      <w:r>
        <w:rPr>
          <w:rFonts w:ascii="Calibri" w:hAnsi="Calibri" w:cs="Calibri"/>
          <w:color w:val="000000"/>
          <w:lang w:val="sl-SI" w:bidi="ar-SA"/>
        </w:rPr>
        <w:t>cijeli</w:t>
      </w:r>
      <w:proofErr w:type="spellEnd"/>
      <w:r>
        <w:rPr>
          <w:rFonts w:ascii="Calibri" w:hAnsi="Calibri" w:cs="Calibri"/>
          <w:color w:val="000000"/>
          <w:lang w:val="sl-SI" w:bidi="ar-SA"/>
        </w:rPr>
        <w:t xml:space="preserve"> iznos </w:t>
      </w:r>
      <w:proofErr w:type="spellStart"/>
      <w:r>
        <w:rPr>
          <w:rFonts w:ascii="Calibri" w:hAnsi="Calibri" w:cs="Calibri"/>
          <w:color w:val="000000"/>
          <w:lang w:val="sl-SI" w:bidi="ar-SA"/>
        </w:rPr>
        <w:t>potpore</w:t>
      </w:r>
      <w:proofErr w:type="spellEnd"/>
      <w:r>
        <w:rPr>
          <w:rFonts w:ascii="Calibri" w:hAnsi="Calibri" w:cs="Calibri"/>
          <w:color w:val="000000"/>
          <w:lang w:val="sl-SI" w:bidi="ar-SA"/>
        </w:rPr>
        <w:t xml:space="preserve">. </w:t>
      </w:r>
      <w:proofErr w:type="spellStart"/>
      <w:r>
        <w:rPr>
          <w:rFonts w:ascii="Calibri" w:hAnsi="Calibri" w:cs="Calibri"/>
          <w:color w:val="000000"/>
          <w:lang w:val="sl-SI" w:bidi="ar-SA"/>
        </w:rPr>
        <w:t>Vodeći</w:t>
      </w:r>
      <w:proofErr w:type="spellEnd"/>
      <w:r>
        <w:rPr>
          <w:rFonts w:ascii="Calibri" w:hAnsi="Calibri" w:cs="Calibri"/>
          <w:color w:val="000000"/>
          <w:lang w:val="sl-SI" w:bidi="ar-SA"/>
        </w:rPr>
        <w:t xml:space="preserve"> partner je </w:t>
      </w:r>
      <w:proofErr w:type="spellStart"/>
      <w:r>
        <w:rPr>
          <w:rFonts w:ascii="Calibri" w:hAnsi="Calibri" w:cs="Calibri"/>
          <w:color w:val="000000"/>
          <w:lang w:val="sl-SI" w:bidi="ar-SA"/>
        </w:rPr>
        <w:t>obavezan</w:t>
      </w:r>
      <w:proofErr w:type="spellEnd"/>
      <w:r>
        <w:rPr>
          <w:rFonts w:ascii="Calibri" w:hAnsi="Calibri" w:cs="Calibri"/>
          <w:color w:val="000000"/>
          <w:lang w:val="sl-SI" w:bidi="ar-SA"/>
        </w:rPr>
        <w:t xml:space="preserve"> </w:t>
      </w:r>
      <w:proofErr w:type="spellStart"/>
      <w:r>
        <w:rPr>
          <w:rFonts w:ascii="Calibri" w:hAnsi="Calibri" w:cs="Calibri"/>
          <w:color w:val="000000"/>
          <w:lang w:val="sl-SI" w:bidi="ar-SA"/>
        </w:rPr>
        <w:t>doznačiti</w:t>
      </w:r>
      <w:proofErr w:type="spellEnd"/>
      <w:r>
        <w:rPr>
          <w:rFonts w:ascii="Calibri" w:hAnsi="Calibri" w:cs="Calibri"/>
          <w:color w:val="000000"/>
          <w:lang w:val="sl-SI" w:bidi="ar-SA"/>
        </w:rPr>
        <w:t xml:space="preserve"> </w:t>
      </w:r>
      <w:proofErr w:type="spellStart"/>
      <w:r>
        <w:rPr>
          <w:rFonts w:ascii="Calibri" w:hAnsi="Calibri" w:cs="Calibri"/>
          <w:color w:val="000000"/>
          <w:lang w:val="sl-SI" w:bidi="ar-SA"/>
        </w:rPr>
        <w:t>cijeli</w:t>
      </w:r>
      <w:proofErr w:type="spellEnd"/>
      <w:r>
        <w:rPr>
          <w:rFonts w:ascii="Calibri" w:hAnsi="Calibri" w:cs="Calibri"/>
          <w:color w:val="000000"/>
          <w:lang w:val="sl-SI" w:bidi="ar-SA"/>
        </w:rPr>
        <w:t xml:space="preserve"> iznos bilo </w:t>
      </w:r>
      <w:proofErr w:type="spellStart"/>
      <w:r>
        <w:rPr>
          <w:rFonts w:ascii="Calibri" w:hAnsi="Calibri" w:cs="Calibri"/>
          <w:color w:val="000000"/>
          <w:lang w:val="sl-SI" w:bidi="ar-SA"/>
        </w:rPr>
        <w:t>kakve</w:t>
      </w:r>
      <w:proofErr w:type="spellEnd"/>
      <w:r>
        <w:rPr>
          <w:rFonts w:ascii="Calibri" w:hAnsi="Calibri" w:cs="Calibri"/>
          <w:color w:val="000000"/>
          <w:lang w:val="sl-SI" w:bidi="ar-SA"/>
        </w:rPr>
        <w:t xml:space="preserve"> </w:t>
      </w:r>
      <w:proofErr w:type="spellStart"/>
      <w:r>
        <w:rPr>
          <w:rFonts w:ascii="Calibri" w:hAnsi="Calibri" w:cs="Calibri"/>
          <w:color w:val="000000"/>
          <w:lang w:val="sl-SI" w:bidi="ar-SA"/>
        </w:rPr>
        <w:t>potpore</w:t>
      </w:r>
      <w:proofErr w:type="spellEnd"/>
      <w:r>
        <w:rPr>
          <w:rFonts w:ascii="Calibri" w:hAnsi="Calibri" w:cs="Calibri"/>
          <w:color w:val="000000"/>
          <w:lang w:val="sl-SI" w:bidi="ar-SA"/>
        </w:rPr>
        <w:t xml:space="preserve"> </w:t>
      </w:r>
      <w:proofErr w:type="spellStart"/>
      <w:r>
        <w:rPr>
          <w:rFonts w:ascii="Calibri" w:hAnsi="Calibri" w:cs="Calibri"/>
          <w:color w:val="000000"/>
          <w:lang w:val="sl-SI" w:bidi="ar-SA"/>
        </w:rPr>
        <w:t>Tijelu</w:t>
      </w:r>
      <w:proofErr w:type="spellEnd"/>
      <w:r>
        <w:rPr>
          <w:rFonts w:ascii="Calibri" w:hAnsi="Calibri" w:cs="Calibri"/>
          <w:color w:val="000000"/>
          <w:lang w:val="sl-SI" w:bidi="ar-SA"/>
        </w:rPr>
        <w:t xml:space="preserve"> za </w:t>
      </w:r>
      <w:proofErr w:type="spellStart"/>
      <w:r>
        <w:rPr>
          <w:rFonts w:ascii="Calibri" w:hAnsi="Calibri" w:cs="Calibri"/>
          <w:color w:val="000000"/>
          <w:lang w:val="sl-SI" w:bidi="ar-SA"/>
        </w:rPr>
        <w:t>ovjeravanje</w:t>
      </w:r>
      <w:proofErr w:type="spellEnd"/>
      <w:r>
        <w:rPr>
          <w:rFonts w:ascii="Calibri" w:hAnsi="Calibri" w:cs="Calibri"/>
          <w:color w:val="000000"/>
          <w:lang w:val="sl-SI" w:bidi="ar-SA"/>
        </w:rPr>
        <w:t xml:space="preserve">.  Sredstva treba </w:t>
      </w:r>
      <w:proofErr w:type="spellStart"/>
      <w:r>
        <w:rPr>
          <w:rFonts w:ascii="Calibri" w:hAnsi="Calibri" w:cs="Calibri"/>
          <w:color w:val="000000"/>
          <w:lang w:val="sl-SI" w:bidi="ar-SA"/>
        </w:rPr>
        <w:t>vratiti</w:t>
      </w:r>
      <w:proofErr w:type="spellEnd"/>
      <w:r>
        <w:rPr>
          <w:rFonts w:ascii="Calibri" w:hAnsi="Calibri" w:cs="Calibri"/>
          <w:color w:val="000000"/>
          <w:lang w:val="sl-SI" w:bidi="ar-SA"/>
        </w:rPr>
        <w:t xml:space="preserve"> u roku od 90 </w:t>
      </w:r>
      <w:proofErr w:type="spellStart"/>
      <w:r>
        <w:rPr>
          <w:rFonts w:ascii="Calibri" w:hAnsi="Calibri" w:cs="Calibri"/>
          <w:color w:val="000000"/>
          <w:lang w:val="sl-SI" w:bidi="ar-SA"/>
        </w:rPr>
        <w:t>kalendarskih</w:t>
      </w:r>
      <w:proofErr w:type="spellEnd"/>
      <w:r>
        <w:rPr>
          <w:rFonts w:ascii="Calibri" w:hAnsi="Calibri" w:cs="Calibri"/>
          <w:color w:val="000000"/>
          <w:lang w:val="sl-SI" w:bidi="ar-SA"/>
        </w:rPr>
        <w:t xml:space="preserve"> dana od datuma </w:t>
      </w:r>
      <w:proofErr w:type="spellStart"/>
      <w:r>
        <w:rPr>
          <w:rFonts w:ascii="Calibri" w:hAnsi="Calibri" w:cs="Calibri"/>
          <w:color w:val="000000"/>
          <w:lang w:val="sl-SI" w:bidi="ar-SA"/>
        </w:rPr>
        <w:t>primitka</w:t>
      </w:r>
      <w:proofErr w:type="spellEnd"/>
      <w:r>
        <w:rPr>
          <w:rFonts w:ascii="Calibri" w:hAnsi="Calibri" w:cs="Calibri"/>
          <w:color w:val="000000"/>
          <w:lang w:val="sl-SI" w:bidi="ar-SA"/>
        </w:rPr>
        <w:t xml:space="preserve"> dopisa </w:t>
      </w:r>
      <w:proofErr w:type="spellStart"/>
      <w:r>
        <w:rPr>
          <w:rFonts w:ascii="Calibri" w:hAnsi="Calibri" w:cs="Calibri"/>
          <w:color w:val="000000"/>
          <w:lang w:val="sl-SI" w:bidi="ar-SA"/>
        </w:rPr>
        <w:t>kojim</w:t>
      </w:r>
      <w:proofErr w:type="spellEnd"/>
      <w:r>
        <w:rPr>
          <w:rFonts w:ascii="Calibri" w:hAnsi="Calibri" w:cs="Calibri"/>
          <w:color w:val="000000"/>
          <w:lang w:val="sl-SI" w:bidi="ar-SA"/>
        </w:rPr>
        <w:t xml:space="preserve"> </w:t>
      </w:r>
      <w:proofErr w:type="spellStart"/>
      <w:r>
        <w:rPr>
          <w:rFonts w:ascii="Calibri" w:hAnsi="Calibri" w:cs="Calibri"/>
          <w:color w:val="000000"/>
          <w:lang w:val="sl-SI" w:bidi="ar-SA"/>
        </w:rPr>
        <w:t>Tijelo</w:t>
      </w:r>
      <w:proofErr w:type="spellEnd"/>
      <w:r>
        <w:rPr>
          <w:rFonts w:ascii="Calibri" w:hAnsi="Calibri" w:cs="Calibri"/>
          <w:color w:val="000000"/>
          <w:lang w:val="sl-SI" w:bidi="ar-SA"/>
        </w:rPr>
        <w:t xml:space="preserve"> za </w:t>
      </w:r>
      <w:proofErr w:type="spellStart"/>
      <w:r>
        <w:rPr>
          <w:rFonts w:ascii="Calibri" w:hAnsi="Calibri" w:cs="Calibri"/>
          <w:color w:val="000000"/>
          <w:lang w:val="sl-SI" w:bidi="ar-SA"/>
        </w:rPr>
        <w:t>ovjeravanje</w:t>
      </w:r>
      <w:proofErr w:type="spellEnd"/>
      <w:r>
        <w:rPr>
          <w:rFonts w:ascii="Calibri" w:hAnsi="Calibri" w:cs="Calibri"/>
          <w:color w:val="000000"/>
          <w:lang w:val="sl-SI" w:bidi="ar-SA"/>
        </w:rPr>
        <w:t xml:space="preserve"> </w:t>
      </w:r>
      <w:proofErr w:type="spellStart"/>
      <w:r>
        <w:rPr>
          <w:rFonts w:ascii="Calibri" w:hAnsi="Calibri" w:cs="Calibri"/>
          <w:color w:val="000000"/>
          <w:lang w:val="sl-SI" w:bidi="ar-SA"/>
        </w:rPr>
        <w:t>zahtijeva</w:t>
      </w:r>
      <w:proofErr w:type="spellEnd"/>
      <w:r>
        <w:rPr>
          <w:rFonts w:ascii="Calibri" w:hAnsi="Calibri" w:cs="Calibri"/>
          <w:color w:val="000000"/>
          <w:lang w:val="sl-SI" w:bidi="ar-SA"/>
        </w:rPr>
        <w:t xml:space="preserve"> </w:t>
      </w:r>
      <w:proofErr w:type="spellStart"/>
      <w:r>
        <w:rPr>
          <w:rFonts w:ascii="Calibri" w:hAnsi="Calibri" w:cs="Calibri"/>
          <w:color w:val="000000"/>
          <w:lang w:val="sl-SI" w:bidi="ar-SA"/>
        </w:rPr>
        <w:t>povrat</w:t>
      </w:r>
      <w:proofErr w:type="spellEnd"/>
      <w:r>
        <w:rPr>
          <w:rFonts w:ascii="Calibri" w:hAnsi="Calibri" w:cs="Calibri"/>
          <w:color w:val="000000"/>
          <w:lang w:val="sl-SI" w:bidi="ar-SA"/>
        </w:rPr>
        <w:t xml:space="preserve"> na temelju informacija </w:t>
      </w:r>
      <w:proofErr w:type="spellStart"/>
      <w:r>
        <w:rPr>
          <w:rFonts w:ascii="Calibri" w:hAnsi="Calibri" w:cs="Calibri"/>
          <w:color w:val="000000"/>
          <w:lang w:val="sl-SI" w:bidi="ar-SA"/>
        </w:rPr>
        <w:t>zaprimljenih</w:t>
      </w:r>
      <w:proofErr w:type="spellEnd"/>
      <w:r>
        <w:rPr>
          <w:rFonts w:ascii="Calibri" w:hAnsi="Calibri" w:cs="Calibri"/>
          <w:color w:val="000000"/>
          <w:lang w:val="sl-SI" w:bidi="ar-SA"/>
        </w:rPr>
        <w:t xml:space="preserve"> od </w:t>
      </w:r>
      <w:proofErr w:type="spellStart"/>
      <w:r>
        <w:rPr>
          <w:rFonts w:ascii="Calibri" w:hAnsi="Calibri" w:cs="Calibri"/>
          <w:color w:val="000000"/>
          <w:lang w:val="sl-SI" w:bidi="ar-SA"/>
        </w:rPr>
        <w:t>Upravljačkog</w:t>
      </w:r>
      <w:proofErr w:type="spellEnd"/>
      <w:r>
        <w:rPr>
          <w:rFonts w:ascii="Calibri" w:hAnsi="Calibri" w:cs="Calibri"/>
          <w:color w:val="000000"/>
          <w:lang w:val="sl-SI" w:bidi="ar-SA"/>
        </w:rPr>
        <w:t xml:space="preserve"> </w:t>
      </w:r>
      <w:proofErr w:type="spellStart"/>
      <w:r>
        <w:rPr>
          <w:rFonts w:ascii="Calibri" w:hAnsi="Calibri" w:cs="Calibri"/>
          <w:color w:val="000000"/>
          <w:lang w:val="sl-SI" w:bidi="ar-SA"/>
        </w:rPr>
        <w:t>tijela</w:t>
      </w:r>
      <w:proofErr w:type="spellEnd"/>
      <w:r>
        <w:rPr>
          <w:rFonts w:ascii="Calibri" w:hAnsi="Calibri" w:cs="Calibri"/>
          <w:color w:val="000000"/>
          <w:lang w:val="sl-SI" w:bidi="ar-SA"/>
        </w:rPr>
        <w:t>.</w:t>
      </w:r>
    </w:p>
    <w:p w:rsidR="004F4620" w:rsidRPr="00345335" w:rsidRDefault="004F4620" w:rsidP="00345335">
      <w:pPr>
        <w:spacing w:after="0" w:line="240" w:lineRule="auto"/>
        <w:contextualSpacing/>
        <w:jc w:val="both"/>
      </w:pPr>
    </w:p>
    <w:p w:rsidR="004F4620" w:rsidRPr="00345335" w:rsidRDefault="004F4620" w:rsidP="00345335">
      <w:pPr>
        <w:pStyle w:val="Odstavekseznama"/>
        <w:numPr>
          <w:ilvl w:val="0"/>
          <w:numId w:val="10"/>
        </w:numPr>
        <w:ind w:left="360"/>
        <w:jc w:val="both"/>
      </w:pPr>
      <w:r w:rsidRPr="00345335">
        <w:t xml:space="preserve">Upravljačko tijelo ne može ni u </w:t>
      </w:r>
      <w:r w:rsidR="00F01781" w:rsidRPr="00345335">
        <w:t xml:space="preserve">kakvim </w:t>
      </w:r>
      <w:r w:rsidRPr="00345335">
        <w:t xml:space="preserve">okolnostima </w:t>
      </w:r>
      <w:r w:rsidR="00F01781" w:rsidRPr="00345335">
        <w:t>te</w:t>
      </w:r>
      <w:r w:rsidRPr="00345335">
        <w:t xml:space="preserve"> iz </w:t>
      </w:r>
      <w:r w:rsidR="00F01781" w:rsidRPr="00345335">
        <w:t xml:space="preserve">bilo kojeg </w:t>
      </w:r>
      <w:r w:rsidRPr="00345335">
        <w:t xml:space="preserve">razloga, biti odgovorno za štetu ili ozljedu osoblja ili vlasništva vodećeg partnera ili projektnih partnera tijekom provedbe projekta. Stoga </w:t>
      </w:r>
      <w:r w:rsidR="00F01781" w:rsidRPr="00345335">
        <w:t xml:space="preserve">Upravljačko </w:t>
      </w:r>
      <w:r w:rsidRPr="00345335">
        <w:t xml:space="preserve">tijelo ne može prihvatiti nikakvo potraživanje za </w:t>
      </w:r>
      <w:r w:rsidR="00F01781" w:rsidRPr="00345335">
        <w:t>nadokn</w:t>
      </w:r>
      <w:r w:rsidR="0065391D" w:rsidRPr="00345335">
        <w:t>a</w:t>
      </w:r>
      <w:r w:rsidR="00F01781" w:rsidRPr="00345335">
        <w:t xml:space="preserve">du </w:t>
      </w:r>
      <w:r w:rsidRPr="00345335">
        <w:t>štete u vezi s takvom štetom ili ozljedom.</w:t>
      </w:r>
    </w:p>
    <w:p w:rsidR="004F4620" w:rsidRPr="00345335" w:rsidRDefault="004F4620" w:rsidP="00345335">
      <w:pPr>
        <w:pStyle w:val="Odstavekseznama"/>
        <w:ind w:left="360"/>
      </w:pPr>
    </w:p>
    <w:p w:rsidR="004F4620" w:rsidRPr="00345335" w:rsidRDefault="004F4620" w:rsidP="00345335">
      <w:pPr>
        <w:pStyle w:val="Odstavekseznama"/>
        <w:numPr>
          <w:ilvl w:val="0"/>
          <w:numId w:val="10"/>
        </w:numPr>
        <w:ind w:left="360"/>
        <w:jc w:val="both"/>
      </w:pPr>
      <w:r w:rsidRPr="00345335">
        <w:t xml:space="preserve">Vodeći partner i projektni partneri preuzimaju odgovornost prema </w:t>
      </w:r>
      <w:r w:rsidR="00B12758" w:rsidRPr="00345335">
        <w:t>trećoj strani</w:t>
      </w:r>
      <w:r w:rsidRPr="00345335">
        <w:t xml:space="preserve">, uključujući odgovornost za svaku štetu ili ozljedu treće strane tijekom provedbe projekta. Vodeći partner i projektni partneri oslobađaju </w:t>
      </w:r>
      <w:r w:rsidR="00B12758" w:rsidRPr="00345335">
        <w:t xml:space="preserve">Upravljačko </w:t>
      </w:r>
      <w:r w:rsidRPr="00345335">
        <w:t xml:space="preserve">tijelo svih odgovornosti povezanih s potraživanjem ili </w:t>
      </w:r>
      <w:r w:rsidRPr="00345335">
        <w:lastRenderedPageBreak/>
        <w:t xml:space="preserve">aktivnošću koje su nastale zato što se </w:t>
      </w:r>
      <w:r w:rsidR="00F74060" w:rsidRPr="00345335">
        <w:t xml:space="preserve">Vodeći </w:t>
      </w:r>
      <w:r w:rsidRPr="00345335">
        <w:t>partner ili projektni partneri nisu pridržavali pravila ili propisa o kršenju prava trećih strana.</w:t>
      </w:r>
    </w:p>
    <w:p w:rsidR="004F4620" w:rsidRPr="00345335" w:rsidRDefault="004F4620" w:rsidP="00345335">
      <w:pPr>
        <w:pStyle w:val="Odstavekseznama"/>
        <w:ind w:left="360"/>
      </w:pPr>
    </w:p>
    <w:p w:rsidR="004F4620" w:rsidRPr="00345335" w:rsidRDefault="004F4620" w:rsidP="00345335">
      <w:pPr>
        <w:pStyle w:val="Odstavekseznama"/>
        <w:numPr>
          <w:ilvl w:val="0"/>
          <w:numId w:val="10"/>
        </w:numPr>
        <w:spacing w:after="120"/>
        <w:ind w:left="357" w:hanging="357"/>
        <w:contextualSpacing w:val="0"/>
        <w:jc w:val="both"/>
      </w:pPr>
      <w:r w:rsidRPr="00345335">
        <w:t xml:space="preserve">Uz prethodno navedene obveze </w:t>
      </w:r>
      <w:r w:rsidR="00EB57E5" w:rsidRPr="00345335">
        <w:t xml:space="preserve">Vodećeg </w:t>
      </w:r>
      <w:r w:rsidRPr="00345335">
        <w:t xml:space="preserve">partnera, </w:t>
      </w:r>
      <w:r w:rsidR="00EB57E5" w:rsidRPr="00345335">
        <w:t xml:space="preserve">Vodeći </w:t>
      </w:r>
      <w:r w:rsidRPr="00345335">
        <w:t>partner se obvezuje da će:</w:t>
      </w:r>
    </w:p>
    <w:p w:rsidR="004F4620" w:rsidRPr="00345335" w:rsidRDefault="004F4620" w:rsidP="00345335">
      <w:pPr>
        <w:pStyle w:val="Odstavekseznama"/>
        <w:numPr>
          <w:ilvl w:val="0"/>
          <w:numId w:val="19"/>
        </w:numPr>
        <w:spacing w:after="120"/>
        <w:contextualSpacing w:val="0"/>
        <w:jc w:val="both"/>
      </w:pPr>
      <w:r w:rsidRPr="00345335">
        <w:t xml:space="preserve">osigurati otvaranje </w:t>
      </w:r>
      <w:r w:rsidR="002E7FB0" w:rsidRPr="00345335">
        <w:t>posebnog mjesta troška</w:t>
      </w:r>
      <w:r w:rsidRPr="00345335">
        <w:t xml:space="preserve"> za projektne troškove u računovodstvenim </w:t>
      </w:r>
      <w:r w:rsidR="002E7FB0" w:rsidRPr="00345335">
        <w:t xml:space="preserve">mjestima troška </w:t>
      </w:r>
      <w:r w:rsidRPr="00345335">
        <w:t xml:space="preserve">svakog </w:t>
      </w:r>
      <w:r w:rsidR="002E7FB0" w:rsidRPr="00345335">
        <w:t xml:space="preserve">Vodećeg </w:t>
      </w:r>
      <w:r w:rsidRPr="00345335">
        <w:t xml:space="preserve">partnera/projektnog partnera te da </w:t>
      </w:r>
      <w:r w:rsidR="002E7FB0" w:rsidRPr="00345335">
        <w:t xml:space="preserve">će </w:t>
      </w:r>
      <w:r w:rsidRPr="00345335">
        <w:t xml:space="preserve">osigurati da se svaka primljena </w:t>
      </w:r>
      <w:r w:rsidR="00211E4A" w:rsidRPr="00345335">
        <w:t xml:space="preserve">potpora </w:t>
      </w:r>
      <w:r w:rsidRPr="00345335">
        <w:t>može jasno identificirati i vratiti u slučaju nepravilnosti;</w:t>
      </w:r>
    </w:p>
    <w:p w:rsidR="004F4620" w:rsidRPr="00345335" w:rsidRDefault="004F4620" w:rsidP="00345335">
      <w:pPr>
        <w:pStyle w:val="Odstavekseznama"/>
        <w:numPr>
          <w:ilvl w:val="0"/>
          <w:numId w:val="19"/>
        </w:numPr>
        <w:spacing w:after="120"/>
        <w:contextualSpacing w:val="0"/>
        <w:jc w:val="both"/>
      </w:pPr>
      <w:r w:rsidRPr="00345335">
        <w:t>uskladiti Ugovor o partnerstvu sa svim partnerima odmah nakon potpisivanja ovog Ugovora;</w:t>
      </w:r>
    </w:p>
    <w:p w:rsidR="004F4620" w:rsidRPr="00345335" w:rsidRDefault="00894CA2" w:rsidP="00345335">
      <w:pPr>
        <w:pStyle w:val="Odstavekseznama"/>
        <w:numPr>
          <w:ilvl w:val="0"/>
          <w:numId w:val="19"/>
        </w:numPr>
        <w:spacing w:after="120"/>
        <w:contextualSpacing w:val="0"/>
        <w:jc w:val="both"/>
      </w:pPr>
      <w:r w:rsidRPr="00345335">
        <w:t xml:space="preserve">osigurati </w:t>
      </w:r>
      <w:r w:rsidR="004F4620" w:rsidRPr="00345335">
        <w:t xml:space="preserve">u okviru partnerstva da će svaki projektni partner platiti svoje troškove, i to iz vlastitog </w:t>
      </w:r>
      <w:r w:rsidRPr="00345335">
        <w:t>mjesta</w:t>
      </w:r>
      <w:r w:rsidR="004F4620" w:rsidRPr="00345335">
        <w:t xml:space="preserve"> </w:t>
      </w:r>
      <w:r w:rsidRPr="00345335">
        <w:t xml:space="preserve">troška </w:t>
      </w:r>
      <w:r w:rsidR="004F4620" w:rsidRPr="00345335">
        <w:t>određenog partnera;</w:t>
      </w:r>
    </w:p>
    <w:p w:rsidR="004F4620" w:rsidRPr="00345335" w:rsidRDefault="004F4620" w:rsidP="00345335">
      <w:pPr>
        <w:pStyle w:val="Odstavekseznama"/>
        <w:numPr>
          <w:ilvl w:val="0"/>
          <w:numId w:val="19"/>
        </w:numPr>
        <w:spacing w:after="120"/>
        <w:contextualSpacing w:val="0"/>
        <w:jc w:val="both"/>
      </w:pPr>
      <w:r w:rsidRPr="00345335">
        <w:t xml:space="preserve">odmah obavijestiti </w:t>
      </w:r>
      <w:r w:rsidR="00894CA2" w:rsidRPr="00345335">
        <w:t xml:space="preserve">Upravljačko </w:t>
      </w:r>
      <w:r w:rsidRPr="00345335">
        <w:t>tijelo u slučaju primanja dodatnog EU-</w:t>
      </w:r>
      <w:r w:rsidR="00894CA2" w:rsidRPr="00345335" w:rsidDel="00894CA2">
        <w:t xml:space="preserve"> </w:t>
      </w:r>
      <w:r w:rsidRPr="00345335">
        <w:t>/javnog financiranja za projektne troškove, u cjelini ili djelomično (osim financiranja navedenog u obrascu za prijavu) tijekom cijelog trajanja projekta;</w:t>
      </w:r>
    </w:p>
    <w:p w:rsidR="004F4620" w:rsidRPr="00345335" w:rsidRDefault="004F4620" w:rsidP="00345335">
      <w:pPr>
        <w:pStyle w:val="Odstavekseznama"/>
        <w:numPr>
          <w:ilvl w:val="0"/>
          <w:numId w:val="19"/>
        </w:numPr>
        <w:spacing w:after="120"/>
        <w:contextualSpacing w:val="0"/>
        <w:jc w:val="both"/>
      </w:pPr>
      <w:r w:rsidRPr="00345335">
        <w:t xml:space="preserve">bez odlaganja dostaviti </w:t>
      </w:r>
      <w:r w:rsidR="00894CA2" w:rsidRPr="00345335">
        <w:t xml:space="preserve">Upravljačkom </w:t>
      </w:r>
      <w:r w:rsidRPr="00345335">
        <w:t>tijelu ili Zajedničkom tajništvu sve zatražene informacije;</w:t>
      </w:r>
    </w:p>
    <w:p w:rsidR="004F4620" w:rsidRPr="00345335" w:rsidRDefault="004F4620" w:rsidP="00345335">
      <w:pPr>
        <w:pStyle w:val="Odstavekseznama"/>
        <w:numPr>
          <w:ilvl w:val="0"/>
          <w:numId w:val="19"/>
        </w:numPr>
        <w:spacing w:after="120"/>
        <w:contextualSpacing w:val="0"/>
        <w:jc w:val="both"/>
      </w:pPr>
      <w:r w:rsidRPr="00345335">
        <w:t>bez odlaganja obavijestiti Zajedničko tajništvo o svim predviđenim izmjenama Ugovora o partnerstvu;</w:t>
      </w:r>
    </w:p>
    <w:p w:rsidR="004F4620" w:rsidRPr="00345335" w:rsidRDefault="004F4620" w:rsidP="00345335">
      <w:pPr>
        <w:pStyle w:val="Odstavekseznama"/>
        <w:numPr>
          <w:ilvl w:val="0"/>
          <w:numId w:val="19"/>
        </w:numPr>
        <w:spacing w:after="120"/>
        <w:contextualSpacing w:val="0"/>
        <w:jc w:val="both"/>
      </w:pPr>
      <w:r w:rsidRPr="00345335">
        <w:t xml:space="preserve">poduzeti sve potrebne mjere za izbjegavanje sukoba interesa (uključujući projektnog partnera) i obavijestiti Zajedničko tajništvo bez odgađanja o situaciji koja vjerojatno može dovesti do takvog sukoba. </w:t>
      </w:r>
      <w:r w:rsidR="00894CA2" w:rsidRPr="00345335">
        <w:t xml:space="preserve">Sukob </w:t>
      </w:r>
      <w:r w:rsidRPr="00345335">
        <w:t>interesa</w:t>
      </w:r>
      <w:r w:rsidR="00894CA2" w:rsidRPr="00345335">
        <w:t xml:space="preserve"> postoji</w:t>
      </w:r>
      <w:r w:rsidRPr="00345335">
        <w:t xml:space="preserve"> ako je nepristrano i objektivno izvršavanje funkcija neke osobe u okviru ovog Ugovora ugroženo zbog razloga povezanih s obitelji, emotivnim životom, političkom ili nacionalnom pripadnosti te ekonomskim interesom ili nekih drugih zajedničkih interesa.</w:t>
      </w:r>
    </w:p>
    <w:p w:rsidR="004F4620" w:rsidRPr="00345335" w:rsidRDefault="004F4620" w:rsidP="00345335">
      <w:pPr>
        <w:spacing w:after="0" w:line="240" w:lineRule="auto"/>
        <w:contextualSpacing/>
        <w:jc w:val="center"/>
        <w:rPr>
          <w:b/>
        </w:rPr>
      </w:pPr>
    </w:p>
    <w:p w:rsidR="004F4620" w:rsidRPr="00345335" w:rsidRDefault="004F4620" w:rsidP="00345335">
      <w:pPr>
        <w:spacing w:after="0" w:line="240" w:lineRule="auto"/>
        <w:contextualSpacing/>
        <w:jc w:val="center"/>
        <w:rPr>
          <w:b/>
        </w:rPr>
      </w:pPr>
      <w:r w:rsidRPr="00345335">
        <w:rPr>
          <w:b/>
        </w:rPr>
        <w:t>Članak 6.</w:t>
      </w:r>
    </w:p>
    <w:p w:rsidR="004F4620" w:rsidRPr="00345335" w:rsidRDefault="004F4620" w:rsidP="00345335">
      <w:pPr>
        <w:spacing w:after="0" w:line="240" w:lineRule="auto"/>
        <w:contextualSpacing/>
        <w:jc w:val="center"/>
        <w:rPr>
          <w:b/>
        </w:rPr>
      </w:pPr>
      <w:r w:rsidRPr="00345335">
        <w:rPr>
          <w:b/>
        </w:rPr>
        <w:t>Informiranje i komunikacija</w:t>
      </w:r>
    </w:p>
    <w:p w:rsidR="004F4620" w:rsidRPr="00345335" w:rsidRDefault="004F4620" w:rsidP="00345335">
      <w:pPr>
        <w:spacing w:after="0" w:line="240" w:lineRule="auto"/>
        <w:contextualSpacing/>
        <w:jc w:val="center"/>
        <w:rPr>
          <w:b/>
        </w:rPr>
      </w:pPr>
    </w:p>
    <w:p w:rsidR="004F4620" w:rsidRPr="00345335" w:rsidRDefault="004F4620" w:rsidP="00345335">
      <w:pPr>
        <w:pStyle w:val="Odstavekseznama"/>
        <w:numPr>
          <w:ilvl w:val="0"/>
          <w:numId w:val="11"/>
        </w:numPr>
        <w:ind w:left="360"/>
        <w:jc w:val="both"/>
      </w:pPr>
      <w:r w:rsidRPr="00345335">
        <w:t xml:space="preserve">Sve mjere informiranja i komunikacije koje provode korisnici, uključujući konferencije ili seminare, moraju priznati primanje sredstava iz fondova programa </w:t>
      </w:r>
      <w:proofErr w:type="spellStart"/>
      <w:r w:rsidRPr="00345335">
        <w:t>Interreg</w:t>
      </w:r>
      <w:proofErr w:type="spellEnd"/>
      <w:r w:rsidRPr="00345335">
        <w:t xml:space="preserve"> V-A SI-HR, u skladu s uvjetima navedenim u </w:t>
      </w:r>
      <w:r w:rsidR="00966581" w:rsidRPr="00345335">
        <w:t xml:space="preserve">Implementacijskom </w:t>
      </w:r>
      <w:r w:rsidRPr="00345335">
        <w:t>priručniku za korisnike potpore i u skladu sa zahtjevima koji su uspostavljeni pravnim okvirom u članku 1., a posebno Uredbom (EU) br. 1303/2013 Prilogom II. Obvezna je upotreba logotipa programa u svakom javnom materijalu koji se koristi za promidžbu ili širenje projektnih aktivnosti, bez obzira na to je li materijal tiskan ili dostupan u elektroničkom obliku.</w:t>
      </w:r>
    </w:p>
    <w:p w:rsidR="004F4620" w:rsidRPr="00345335" w:rsidRDefault="004F4620" w:rsidP="00345335">
      <w:pPr>
        <w:pStyle w:val="Odstavekseznama"/>
        <w:ind w:left="360"/>
        <w:jc w:val="both"/>
      </w:pPr>
    </w:p>
    <w:p w:rsidR="004F4620" w:rsidRPr="00345335" w:rsidRDefault="004F4620" w:rsidP="00345335">
      <w:pPr>
        <w:pStyle w:val="Odstavekseznama"/>
        <w:numPr>
          <w:ilvl w:val="0"/>
          <w:numId w:val="11"/>
        </w:numPr>
        <w:spacing w:after="120"/>
        <w:ind w:left="357" w:hanging="357"/>
        <w:contextualSpacing w:val="0"/>
        <w:jc w:val="both"/>
      </w:pPr>
      <w:r w:rsidRPr="00345335">
        <w:t>Upravljačko tijelo ili Zajedničko tajništvo ima pravo objaviti, u svakom obliku ili putem svakog medija, uključujući internet, sljedeće informacije:</w:t>
      </w:r>
    </w:p>
    <w:p w:rsidR="004F4620" w:rsidRPr="00345335" w:rsidRDefault="004F4620" w:rsidP="00345335">
      <w:pPr>
        <w:pStyle w:val="Odstavekseznama"/>
        <w:numPr>
          <w:ilvl w:val="0"/>
          <w:numId w:val="20"/>
        </w:numPr>
        <w:spacing w:after="120"/>
        <w:contextualSpacing w:val="0"/>
        <w:jc w:val="both"/>
      </w:pPr>
      <w:r w:rsidRPr="00345335">
        <w:t xml:space="preserve">ime </w:t>
      </w:r>
      <w:r w:rsidR="00D84DE7" w:rsidRPr="00345335">
        <w:t xml:space="preserve">Vodećeg </w:t>
      </w:r>
      <w:r w:rsidRPr="00345335">
        <w:t>partnera i njegovih partnera, naziv projekta i njegov sažetak, datum početka i završetka projekta,</w:t>
      </w:r>
    </w:p>
    <w:p w:rsidR="004F4620" w:rsidRPr="00345335" w:rsidRDefault="004F4620" w:rsidP="00345335">
      <w:pPr>
        <w:pStyle w:val="Odstavekseznama"/>
        <w:numPr>
          <w:ilvl w:val="0"/>
          <w:numId w:val="20"/>
        </w:numPr>
        <w:spacing w:after="120"/>
        <w:contextualSpacing w:val="0"/>
        <w:jc w:val="both"/>
      </w:pPr>
      <w:r w:rsidRPr="00345335">
        <w:t xml:space="preserve">dodijeljeni iznos (ukupni iznos </w:t>
      </w:r>
      <w:r w:rsidR="00D84DE7" w:rsidRPr="00345335">
        <w:t>prihvatljiv</w:t>
      </w:r>
      <w:r w:rsidR="0053290C" w:rsidRPr="00345335">
        <w:t>ih</w:t>
      </w:r>
      <w:r w:rsidR="00D84DE7" w:rsidRPr="00345335">
        <w:t xml:space="preserve"> </w:t>
      </w:r>
      <w:r w:rsidR="0053290C" w:rsidRPr="00345335">
        <w:t xml:space="preserve">troškova </w:t>
      </w:r>
      <w:r w:rsidRPr="00345335">
        <w:t>dodijeljen</w:t>
      </w:r>
      <w:r w:rsidR="0053290C" w:rsidRPr="00345335">
        <w:t>ih</w:t>
      </w:r>
      <w:r w:rsidRPr="00345335">
        <w:t xml:space="preserve"> projektu i </w:t>
      </w:r>
      <w:r w:rsidR="0053290C" w:rsidRPr="00345335">
        <w:t xml:space="preserve">stopu </w:t>
      </w:r>
      <w:r w:rsidRPr="00345335">
        <w:t>sufinanciranja Unije) te omjer ukupnih troškova projekta pokrivenih financiranjem,</w:t>
      </w:r>
    </w:p>
    <w:p w:rsidR="004F4620" w:rsidRPr="00345335" w:rsidRDefault="004F4620" w:rsidP="00345335">
      <w:pPr>
        <w:pStyle w:val="Odstavekseznama"/>
        <w:numPr>
          <w:ilvl w:val="0"/>
          <w:numId w:val="20"/>
        </w:numPr>
        <w:spacing w:after="120"/>
        <w:contextualSpacing w:val="0"/>
        <w:jc w:val="both"/>
      </w:pPr>
      <w:r w:rsidRPr="00345335">
        <w:t>rezultate i ishode projekta,</w:t>
      </w:r>
    </w:p>
    <w:p w:rsidR="004F4620" w:rsidRPr="00345335" w:rsidRDefault="004F4620" w:rsidP="00345335">
      <w:pPr>
        <w:pStyle w:val="Odstavekseznama"/>
        <w:numPr>
          <w:ilvl w:val="0"/>
          <w:numId w:val="20"/>
        </w:numPr>
        <w:spacing w:after="120"/>
        <w:contextualSpacing w:val="0"/>
        <w:jc w:val="both"/>
      </w:pPr>
      <w:r w:rsidRPr="00345335">
        <w:t>geografsku lokaciju projekta.</w:t>
      </w:r>
    </w:p>
    <w:p w:rsidR="004F4620" w:rsidRPr="00345335" w:rsidRDefault="004F4620" w:rsidP="00345335">
      <w:pPr>
        <w:spacing w:after="0" w:line="240" w:lineRule="auto"/>
        <w:contextualSpacing/>
        <w:jc w:val="both"/>
      </w:pPr>
    </w:p>
    <w:p w:rsidR="004F4620" w:rsidRPr="00345335" w:rsidRDefault="004F4620" w:rsidP="00345335">
      <w:pPr>
        <w:pStyle w:val="Odstavekseznama"/>
        <w:numPr>
          <w:ilvl w:val="0"/>
          <w:numId w:val="11"/>
        </w:numPr>
        <w:ind w:left="360"/>
        <w:jc w:val="both"/>
      </w:pPr>
      <w:r w:rsidRPr="00345335">
        <w:lastRenderedPageBreak/>
        <w:t xml:space="preserve">Vodeći partner ima obvezu, u okviru svih aktivnosti i mjera, obavijestiti javnost o dobivenoj potpori i mora osigurati barem osnovne podatke o projektu (ciljevi, partneri, iznos i izvor financiranja, opis aktivnosti) na internetu (mrežna stranica korisnika </w:t>
      </w:r>
      <w:r w:rsidR="00C0409A" w:rsidRPr="00345335">
        <w:t>potpore</w:t>
      </w:r>
      <w:r w:rsidRPr="00345335">
        <w:t>, ako postoji) tijekom provedbe projekta. Nakon što projekt završi, ti podaci moraju obuhvaćati glavne rezultate i ishode dostupne za širenje.</w:t>
      </w:r>
    </w:p>
    <w:p w:rsidR="004F4620" w:rsidRPr="00345335" w:rsidRDefault="004F4620" w:rsidP="00345335">
      <w:pPr>
        <w:pStyle w:val="Odstavekseznama"/>
        <w:ind w:left="360"/>
      </w:pPr>
    </w:p>
    <w:p w:rsidR="004F4620" w:rsidRPr="00345335" w:rsidRDefault="004F4620" w:rsidP="00345335">
      <w:pPr>
        <w:pStyle w:val="Odstavekseznama"/>
        <w:numPr>
          <w:ilvl w:val="0"/>
          <w:numId w:val="11"/>
        </w:numPr>
        <w:ind w:left="360"/>
        <w:jc w:val="both"/>
      </w:pPr>
      <w:r w:rsidRPr="00345335">
        <w:t xml:space="preserve">U slučaju nepridržavanja pravila povezanih s informiranjem i komunikacijom, mogu se primijeniti financijske </w:t>
      </w:r>
      <w:r w:rsidR="00C0409A" w:rsidRPr="00345335">
        <w:t>korekcije</w:t>
      </w:r>
      <w:r w:rsidRPr="00345335">
        <w:t>.</w:t>
      </w:r>
    </w:p>
    <w:p w:rsidR="004F4620" w:rsidRPr="00345335" w:rsidRDefault="004F4620" w:rsidP="00345335">
      <w:pPr>
        <w:pStyle w:val="Odstavekseznama"/>
        <w:jc w:val="both"/>
      </w:pPr>
    </w:p>
    <w:p w:rsidR="004F4620" w:rsidRPr="00345335" w:rsidRDefault="004F4620" w:rsidP="00345335">
      <w:pPr>
        <w:pStyle w:val="Odstavekseznama"/>
        <w:jc w:val="both"/>
      </w:pPr>
    </w:p>
    <w:p w:rsidR="004F4620" w:rsidRPr="00345335" w:rsidRDefault="004F4620" w:rsidP="00345335">
      <w:pPr>
        <w:spacing w:after="0" w:line="240" w:lineRule="auto"/>
        <w:contextualSpacing/>
        <w:jc w:val="center"/>
        <w:rPr>
          <w:b/>
        </w:rPr>
      </w:pPr>
      <w:r w:rsidRPr="00345335">
        <w:rPr>
          <w:b/>
        </w:rPr>
        <w:t>Članak 7.</w:t>
      </w:r>
      <w:r w:rsidRPr="00345335">
        <w:rPr>
          <w:b/>
        </w:rPr>
        <w:br/>
        <w:t>Trajnost rezultata i vlasništvo nad njima</w:t>
      </w:r>
    </w:p>
    <w:p w:rsidR="004F4620" w:rsidRPr="00345335" w:rsidRDefault="004F4620" w:rsidP="00345335">
      <w:pPr>
        <w:spacing w:after="0" w:line="240" w:lineRule="auto"/>
        <w:contextualSpacing/>
        <w:jc w:val="both"/>
      </w:pPr>
    </w:p>
    <w:p w:rsidR="004F4620" w:rsidRPr="00345335" w:rsidRDefault="004F4620" w:rsidP="00345335">
      <w:pPr>
        <w:pStyle w:val="Odstavekseznama"/>
        <w:numPr>
          <w:ilvl w:val="0"/>
          <w:numId w:val="12"/>
        </w:numPr>
        <w:spacing w:after="120"/>
        <w:ind w:left="357" w:hanging="357"/>
        <w:contextualSpacing w:val="0"/>
        <w:jc w:val="both"/>
      </w:pPr>
      <w:r w:rsidRPr="00345335">
        <w:t xml:space="preserve">U skladu s člankom 71. Uredbe (EU) br. 1303/2013, </w:t>
      </w:r>
      <w:r w:rsidR="006515E5" w:rsidRPr="00345335">
        <w:t xml:space="preserve">Vodeći </w:t>
      </w:r>
      <w:r w:rsidRPr="00345335">
        <w:t xml:space="preserve">partner osigurat će da projektni partneri (uključujući </w:t>
      </w:r>
      <w:r w:rsidR="006515E5" w:rsidRPr="00345335">
        <w:t xml:space="preserve">Vodećeg </w:t>
      </w:r>
      <w:r w:rsidRPr="00345335">
        <w:t>partnera)</w:t>
      </w:r>
      <w:r w:rsidR="00B05F0A" w:rsidRPr="00345335">
        <w:t xml:space="preserve"> koji ulažu u infrastrukturu proizvodnih investicijskih projekata</w:t>
      </w:r>
      <w:r w:rsidRPr="00345335">
        <w:t xml:space="preserve"> vrate sredstva </w:t>
      </w:r>
      <w:r w:rsidR="00AE109F" w:rsidRPr="00345335">
        <w:t>EFRR</w:t>
      </w:r>
      <w:r w:rsidRPr="00345335">
        <w:t>-u ako u roku od pet (5) godina od konačne isplate korisniku ili unutar razdoblja određenog u pravilima o državnoj potpori budu podložni sljedećem:</w:t>
      </w:r>
    </w:p>
    <w:p w:rsidR="004F4620" w:rsidRPr="00345335" w:rsidRDefault="004F4620" w:rsidP="00345335">
      <w:pPr>
        <w:pStyle w:val="Odstavekseznama"/>
        <w:numPr>
          <w:ilvl w:val="0"/>
          <w:numId w:val="21"/>
        </w:numPr>
        <w:spacing w:after="120"/>
        <w:contextualSpacing w:val="0"/>
        <w:jc w:val="both"/>
      </w:pPr>
      <w:r w:rsidRPr="00345335">
        <w:t>prekidu ili preraspodjeli proizvodnih aktivnosti izvan programskog područja;</w:t>
      </w:r>
    </w:p>
    <w:p w:rsidR="004F4620" w:rsidRPr="00345335" w:rsidRDefault="004F4620" w:rsidP="00345335">
      <w:pPr>
        <w:pStyle w:val="Odstavekseznama"/>
        <w:numPr>
          <w:ilvl w:val="0"/>
          <w:numId w:val="21"/>
        </w:numPr>
        <w:spacing w:after="120"/>
        <w:contextualSpacing w:val="0"/>
        <w:jc w:val="both"/>
      </w:pPr>
      <w:r w:rsidRPr="00345335">
        <w:t xml:space="preserve">promjeni vlasništva infrastrukturne stavke što </w:t>
      </w:r>
      <w:r w:rsidR="00AE109F" w:rsidRPr="00345335">
        <w:t xml:space="preserve">tvrtki </w:t>
      </w:r>
      <w:r w:rsidRPr="00345335">
        <w:t>ili javnom tijelu daje nepravednu prednost;</w:t>
      </w:r>
    </w:p>
    <w:p w:rsidR="004F4620" w:rsidRPr="00345335" w:rsidRDefault="004F4620" w:rsidP="00345335">
      <w:pPr>
        <w:pStyle w:val="Odstavekseznama"/>
        <w:numPr>
          <w:ilvl w:val="0"/>
          <w:numId w:val="21"/>
        </w:numPr>
        <w:spacing w:after="120"/>
        <w:contextualSpacing w:val="0"/>
        <w:jc w:val="both"/>
      </w:pPr>
      <w:r w:rsidRPr="00345335">
        <w:t xml:space="preserve">značajnoj promjeni koja utječe na njihovu prirodu, ciljeve ili provedbene uvjete što bi dovelo do poništavanja njihovih izvornih ciljeva. </w:t>
      </w:r>
    </w:p>
    <w:p w:rsidR="004F4620" w:rsidRPr="00345335" w:rsidRDefault="004F4620" w:rsidP="00345335">
      <w:pPr>
        <w:spacing w:after="0" w:line="240" w:lineRule="auto"/>
        <w:contextualSpacing/>
        <w:jc w:val="both"/>
      </w:pPr>
    </w:p>
    <w:p w:rsidR="004F4620" w:rsidRPr="00345335" w:rsidRDefault="004F4620" w:rsidP="00345335">
      <w:pPr>
        <w:pStyle w:val="Odstavekseznama"/>
        <w:numPr>
          <w:ilvl w:val="0"/>
          <w:numId w:val="12"/>
        </w:numPr>
        <w:ind w:left="360"/>
        <w:jc w:val="both"/>
      </w:pPr>
      <w:r w:rsidRPr="00345335">
        <w:t xml:space="preserve">Projekti bez investicija u infrastrukturu ili proizvodnju </w:t>
      </w:r>
      <w:r w:rsidR="002B6600" w:rsidRPr="00345335">
        <w:t>EFRR</w:t>
      </w:r>
      <w:r w:rsidRPr="00345335">
        <w:t>-u će vratiti sredstva ako su podložni obvezi održavanja investicije na temelju primjenjivih pravila o državnim potporama i ako se njihova proizvodna aktivnost prekine ili raspodijeli unutar vremenskog razdoblja koje je navedeno u tim pravilima.</w:t>
      </w:r>
    </w:p>
    <w:p w:rsidR="004F4620" w:rsidRPr="00345335" w:rsidRDefault="004F4620" w:rsidP="00345335">
      <w:pPr>
        <w:pStyle w:val="Odstavekseznama"/>
        <w:ind w:left="360"/>
        <w:jc w:val="both"/>
      </w:pPr>
    </w:p>
    <w:p w:rsidR="004F4620" w:rsidRPr="00345335" w:rsidRDefault="004F4620" w:rsidP="00345335">
      <w:pPr>
        <w:pStyle w:val="Odstavekseznama"/>
        <w:numPr>
          <w:ilvl w:val="0"/>
          <w:numId w:val="12"/>
        </w:numPr>
        <w:ind w:left="360"/>
        <w:jc w:val="both"/>
      </w:pPr>
      <w:r w:rsidRPr="00345335">
        <w:t xml:space="preserve">Vodeći partner obvezan je obavijestiti </w:t>
      </w:r>
      <w:r w:rsidR="00DD3762" w:rsidRPr="00345335">
        <w:t xml:space="preserve">Upravljačko </w:t>
      </w:r>
      <w:r w:rsidRPr="00345335">
        <w:t xml:space="preserve">tijelo o svim prethodno navedenim promjenama kako bi </w:t>
      </w:r>
      <w:r w:rsidR="00DD3762" w:rsidRPr="00345335">
        <w:t xml:space="preserve">Upravljačko </w:t>
      </w:r>
      <w:r w:rsidRPr="00345335">
        <w:t>tijelo moglo odrediti što se od prethodno navedenog može primijeniti i iznose koji se trebaju vratiti.</w:t>
      </w:r>
    </w:p>
    <w:p w:rsidR="004F4620" w:rsidRPr="00345335" w:rsidRDefault="004F4620" w:rsidP="00345335">
      <w:pPr>
        <w:spacing w:after="0" w:line="240" w:lineRule="auto"/>
        <w:contextualSpacing/>
        <w:jc w:val="both"/>
      </w:pPr>
    </w:p>
    <w:p w:rsidR="004F4620" w:rsidRPr="00345335" w:rsidRDefault="004F4620" w:rsidP="00345335">
      <w:pPr>
        <w:pStyle w:val="Odstavekseznama"/>
        <w:numPr>
          <w:ilvl w:val="0"/>
          <w:numId w:val="12"/>
        </w:numPr>
        <w:ind w:left="360"/>
        <w:jc w:val="both"/>
      </w:pPr>
      <w:r w:rsidRPr="00345335">
        <w:t>Vodeći partner osigurava da su dogovori o vlasništvu, nazivim</w:t>
      </w:r>
      <w:r w:rsidR="00DD3762" w:rsidRPr="00345335">
        <w:t>a</w:t>
      </w:r>
      <w:r w:rsidRPr="00345335">
        <w:t xml:space="preserve"> te pravima industrijskog i intelektualnog vlasništva u pogledu rezultata projekta u skladu s ovim člankom. </w:t>
      </w:r>
    </w:p>
    <w:p w:rsidR="004F4620" w:rsidRPr="00345335" w:rsidRDefault="004F4620" w:rsidP="00345335">
      <w:pPr>
        <w:spacing w:after="0" w:line="240" w:lineRule="auto"/>
        <w:contextualSpacing/>
        <w:jc w:val="both"/>
      </w:pPr>
    </w:p>
    <w:p w:rsidR="004F4620" w:rsidRPr="00345335" w:rsidRDefault="004F4620" w:rsidP="00345335">
      <w:pPr>
        <w:pStyle w:val="Odstavekseznama"/>
        <w:numPr>
          <w:ilvl w:val="0"/>
          <w:numId w:val="12"/>
        </w:numPr>
        <w:ind w:left="360"/>
        <w:jc w:val="both"/>
      </w:pPr>
      <w:r w:rsidRPr="00345335">
        <w:t xml:space="preserve">Vodeći partner pomoću Ugovora o partnerstvu osigurava da su rezultati i ishodi projekta zajedničko vlasništvo svih projektnih partnera. Shodno tomu, </w:t>
      </w:r>
      <w:r w:rsidR="004408E3" w:rsidRPr="00345335">
        <w:t xml:space="preserve">Vodeći </w:t>
      </w:r>
      <w:r w:rsidRPr="00345335">
        <w:t xml:space="preserve">partner osigurava da svaki projektni partner dodijeli jednostavno, neisključivo pravo na upotrebu svih izvršenih radova svim drugim projektnim partnerima. Vodeći partner također osigurava da će se, prema potrebi, u obzir uzeti određena nacionalna pravila i upute važne za prava vlasništva na ishode i rezultate projekta prilikom dodjeljivanja tih prava projektnim partnerima. </w:t>
      </w:r>
    </w:p>
    <w:p w:rsidR="004F4620" w:rsidRPr="00345335" w:rsidRDefault="004F4620" w:rsidP="00345335">
      <w:pPr>
        <w:pStyle w:val="Odstavekseznama"/>
        <w:ind w:left="360"/>
      </w:pPr>
    </w:p>
    <w:p w:rsidR="004F4620" w:rsidRPr="00345335" w:rsidRDefault="004F4620" w:rsidP="00345335">
      <w:pPr>
        <w:pStyle w:val="Odstavekseznama"/>
        <w:numPr>
          <w:ilvl w:val="0"/>
          <w:numId w:val="12"/>
        </w:numPr>
        <w:ind w:left="360"/>
        <w:jc w:val="both"/>
      </w:pPr>
      <w:r w:rsidRPr="00345335">
        <w:t>Vodeći partner osigurava da rezultati projekta, uključujući ispitivanja ili analize nastale tijekom provedbe, budu dostupni javnosti kako bi se omogućila široka promidžba projektnih rezultata u skladu s odobrenim obrasc</w:t>
      </w:r>
      <w:r w:rsidR="0065391D" w:rsidRPr="00345335">
        <w:t>e</w:t>
      </w:r>
      <w:r w:rsidRPr="00345335">
        <w:t>m za prijavu i Ugovorom o partnerstvu.</w:t>
      </w:r>
    </w:p>
    <w:p w:rsidR="004F4620" w:rsidRPr="00345335" w:rsidRDefault="004F4620" w:rsidP="00345335">
      <w:pPr>
        <w:spacing w:after="0" w:line="240" w:lineRule="auto"/>
        <w:contextualSpacing/>
        <w:jc w:val="both"/>
      </w:pPr>
    </w:p>
    <w:p w:rsidR="004F4620" w:rsidRPr="00345335" w:rsidRDefault="004F4620" w:rsidP="00345335">
      <w:pPr>
        <w:pStyle w:val="Odstavekseznama"/>
        <w:numPr>
          <w:ilvl w:val="0"/>
          <w:numId w:val="12"/>
        </w:numPr>
        <w:ind w:left="360"/>
        <w:jc w:val="both"/>
      </w:pPr>
      <w:r w:rsidRPr="00345335">
        <w:t xml:space="preserve">Vodeći partner pomoću Ugovora o partnerstvu osigurava da se načela vlasništva kupljene uredske opreme </w:t>
      </w:r>
      <w:r w:rsidR="004408E3" w:rsidRPr="00345335">
        <w:t xml:space="preserve">Vodećeg </w:t>
      </w:r>
      <w:r w:rsidRPr="00345335">
        <w:t xml:space="preserve">partnera i svakog projektnog partnera nakon završetka projekta uzmu </w:t>
      </w:r>
      <w:r w:rsidRPr="00345335">
        <w:lastRenderedPageBreak/>
        <w:t xml:space="preserve">u obzir te da preostala vrijednost kupljene opreme podložna mjerama nakon završetka projekta bude u skladu s izvršenom deprecijacijom, uzimajući u obzir relevantne nacionalne specifikacije. </w:t>
      </w:r>
    </w:p>
    <w:p w:rsidR="004F4620" w:rsidRDefault="004F4620" w:rsidP="00345335">
      <w:pPr>
        <w:spacing w:after="0" w:line="240" w:lineRule="auto"/>
        <w:contextualSpacing/>
        <w:jc w:val="both"/>
      </w:pPr>
    </w:p>
    <w:p w:rsidR="00345335" w:rsidRPr="00345335" w:rsidRDefault="00345335" w:rsidP="00345335">
      <w:pPr>
        <w:spacing w:after="0" w:line="240" w:lineRule="auto"/>
        <w:contextualSpacing/>
        <w:jc w:val="both"/>
      </w:pPr>
    </w:p>
    <w:p w:rsidR="004F4620" w:rsidRPr="00345335" w:rsidRDefault="004F4620" w:rsidP="00345335">
      <w:pPr>
        <w:spacing w:after="0" w:line="240" w:lineRule="auto"/>
        <w:contextualSpacing/>
        <w:jc w:val="center"/>
        <w:rPr>
          <w:b/>
        </w:rPr>
      </w:pPr>
      <w:r w:rsidRPr="00345335">
        <w:rPr>
          <w:b/>
        </w:rPr>
        <w:t>Članak 8.</w:t>
      </w:r>
    </w:p>
    <w:p w:rsidR="004F4620" w:rsidRPr="00345335" w:rsidRDefault="004F4620" w:rsidP="00345335">
      <w:pPr>
        <w:spacing w:after="0" w:line="240" w:lineRule="auto"/>
        <w:contextualSpacing/>
        <w:jc w:val="center"/>
        <w:rPr>
          <w:b/>
        </w:rPr>
      </w:pPr>
      <w:r w:rsidRPr="00345335">
        <w:rPr>
          <w:b/>
        </w:rPr>
        <w:t>Generiranje prihoda</w:t>
      </w:r>
    </w:p>
    <w:p w:rsidR="004F4620" w:rsidRPr="00345335" w:rsidRDefault="004F4620" w:rsidP="00345335">
      <w:pPr>
        <w:spacing w:after="0" w:line="240" w:lineRule="auto"/>
        <w:contextualSpacing/>
        <w:jc w:val="both"/>
      </w:pPr>
    </w:p>
    <w:p w:rsidR="004F4620" w:rsidRPr="00345335" w:rsidRDefault="004F4620" w:rsidP="00345335">
      <w:pPr>
        <w:pStyle w:val="Odstavekseznama"/>
        <w:numPr>
          <w:ilvl w:val="0"/>
          <w:numId w:val="13"/>
        </w:numPr>
        <w:ind w:left="360"/>
        <w:jc w:val="both"/>
      </w:pPr>
      <w:r w:rsidRPr="00345335">
        <w:t xml:space="preserve">Projekti moraju izvijestiti o neto prihodima program </w:t>
      </w:r>
      <w:proofErr w:type="spellStart"/>
      <w:r w:rsidRPr="00345335">
        <w:t>Interreg</w:t>
      </w:r>
      <w:proofErr w:type="spellEnd"/>
      <w:r w:rsidRPr="00345335">
        <w:t xml:space="preserve"> V-A SI-HR. Primjenjuju se pravila koja propisuju </w:t>
      </w:r>
      <w:r w:rsidR="00841283" w:rsidRPr="00345335">
        <w:t xml:space="preserve">Uredbe </w:t>
      </w:r>
      <w:r w:rsidRPr="00345335">
        <w:t xml:space="preserve">EU-a o strukturnim i investicijskim fondovima te </w:t>
      </w:r>
      <w:r w:rsidR="00841283" w:rsidRPr="00345335">
        <w:t xml:space="preserve">Implementacijski </w:t>
      </w:r>
      <w:r w:rsidRPr="00345335">
        <w:t>priručnik za korisnike potpore.</w:t>
      </w:r>
    </w:p>
    <w:p w:rsidR="004F4620" w:rsidRPr="00345335" w:rsidRDefault="004F4620" w:rsidP="00345335">
      <w:pPr>
        <w:spacing w:after="0" w:line="240" w:lineRule="auto"/>
        <w:contextualSpacing/>
        <w:jc w:val="both"/>
      </w:pPr>
    </w:p>
    <w:p w:rsidR="004F4620" w:rsidRPr="00345335" w:rsidRDefault="004F4620" w:rsidP="00345335">
      <w:pPr>
        <w:pStyle w:val="Odstavekseznama"/>
        <w:numPr>
          <w:ilvl w:val="0"/>
          <w:numId w:val="13"/>
        </w:numPr>
        <w:ind w:left="360"/>
        <w:jc w:val="both"/>
      </w:pPr>
      <w:r w:rsidRPr="00345335">
        <w:t xml:space="preserve">Za sve projekte bez obzira na veličinu i ukupni proračun, neto prihod ostvaren od projektnih aktivnosti proporcionalno će smanjiti </w:t>
      </w:r>
      <w:r w:rsidR="00931FD3" w:rsidRPr="00345335">
        <w:t>EFRR</w:t>
      </w:r>
      <w:r w:rsidRPr="00345335">
        <w:t>-ovo sufinanciranje. Neto prihod bit će naveden u obrascu za prijavu i/ili u izvješću o napretku partnera. Obveza izvješćivanja o neto prihodima ne završava nakon što projekt završi.</w:t>
      </w:r>
    </w:p>
    <w:p w:rsidR="004F4620" w:rsidRDefault="004F4620" w:rsidP="00345335">
      <w:pPr>
        <w:spacing w:after="0" w:line="240" w:lineRule="auto"/>
        <w:contextualSpacing/>
        <w:jc w:val="both"/>
      </w:pPr>
    </w:p>
    <w:p w:rsidR="00345335" w:rsidRDefault="00345335" w:rsidP="00345335">
      <w:pPr>
        <w:spacing w:after="0" w:line="240" w:lineRule="auto"/>
        <w:contextualSpacing/>
        <w:jc w:val="both"/>
      </w:pPr>
    </w:p>
    <w:p w:rsidR="00345335" w:rsidRDefault="00345335" w:rsidP="00345335">
      <w:pPr>
        <w:spacing w:after="0" w:line="240" w:lineRule="auto"/>
        <w:contextualSpacing/>
        <w:jc w:val="both"/>
      </w:pPr>
    </w:p>
    <w:p w:rsidR="004F4620" w:rsidRPr="00345335" w:rsidRDefault="004F4620" w:rsidP="00345335">
      <w:pPr>
        <w:spacing w:after="0" w:line="240" w:lineRule="auto"/>
        <w:contextualSpacing/>
        <w:jc w:val="center"/>
        <w:rPr>
          <w:b/>
        </w:rPr>
      </w:pPr>
      <w:r w:rsidRPr="00345335">
        <w:rPr>
          <w:b/>
        </w:rPr>
        <w:t>Članak 9.</w:t>
      </w:r>
    </w:p>
    <w:p w:rsidR="004F4620" w:rsidRPr="00345335" w:rsidRDefault="004F4620" w:rsidP="00345335">
      <w:pPr>
        <w:spacing w:after="0" w:line="240" w:lineRule="auto"/>
        <w:contextualSpacing/>
        <w:jc w:val="center"/>
        <w:rPr>
          <w:b/>
        </w:rPr>
      </w:pPr>
      <w:r w:rsidRPr="00345335">
        <w:rPr>
          <w:b/>
        </w:rPr>
        <w:t>Pravo prekida ugovora</w:t>
      </w:r>
    </w:p>
    <w:p w:rsidR="004F4620" w:rsidRPr="00345335" w:rsidRDefault="004F4620" w:rsidP="00345335">
      <w:pPr>
        <w:spacing w:after="0" w:line="240" w:lineRule="auto"/>
        <w:contextualSpacing/>
        <w:jc w:val="both"/>
      </w:pPr>
    </w:p>
    <w:p w:rsidR="004F4620" w:rsidRPr="00345335" w:rsidRDefault="004F4620" w:rsidP="00345335">
      <w:pPr>
        <w:pStyle w:val="Odstavekseznama"/>
        <w:numPr>
          <w:ilvl w:val="0"/>
          <w:numId w:val="14"/>
        </w:numPr>
        <w:spacing w:after="120"/>
        <w:ind w:left="357" w:hanging="357"/>
        <w:contextualSpacing w:val="0"/>
        <w:jc w:val="both"/>
      </w:pPr>
      <w:r w:rsidRPr="00345335">
        <w:t xml:space="preserve">Uz prava na prekid ugovora koja su navedena u članku 2., </w:t>
      </w:r>
      <w:r w:rsidR="00931FD3" w:rsidRPr="00345335">
        <w:t xml:space="preserve">Upravljačko </w:t>
      </w:r>
      <w:r w:rsidRPr="00345335">
        <w:t>tijelo, ovisno o slučaju, ima pravo djelomično ili u potpunosti prekinuti ovaj Ugovor preporučenim pismom ili, prema potrebi, zatražiti povrat ukupnog ili djelomičnog iznosa sredstava, ako:</w:t>
      </w:r>
    </w:p>
    <w:p w:rsidR="004F4620" w:rsidRPr="00345335" w:rsidRDefault="004F4620" w:rsidP="00345335">
      <w:pPr>
        <w:pStyle w:val="Odstavekseznama"/>
        <w:numPr>
          <w:ilvl w:val="0"/>
          <w:numId w:val="22"/>
        </w:numPr>
        <w:spacing w:after="120"/>
        <w:contextualSpacing w:val="0"/>
        <w:jc w:val="both"/>
      </w:pPr>
      <w:r w:rsidRPr="00345335">
        <w:t xml:space="preserve">je vodeći partner dobio u </w:t>
      </w:r>
      <w:r w:rsidR="00931FD3" w:rsidRPr="00345335">
        <w:t xml:space="preserve">potporu </w:t>
      </w:r>
      <w:r w:rsidRPr="00345335">
        <w:t>putem netočnih ili nepotpunih izjava; ili</w:t>
      </w:r>
    </w:p>
    <w:p w:rsidR="004F4620" w:rsidRPr="00345335" w:rsidRDefault="004F4620" w:rsidP="00345335">
      <w:pPr>
        <w:pStyle w:val="Odstavekseznama"/>
        <w:numPr>
          <w:ilvl w:val="0"/>
          <w:numId w:val="22"/>
        </w:numPr>
        <w:spacing w:after="120"/>
        <w:contextualSpacing w:val="0"/>
        <w:jc w:val="both"/>
      </w:pPr>
      <w:r w:rsidRPr="00345335">
        <w:t>projekt se nije proveo ili se ne može provesti, ili nije proveden ili se ne može provesti u roku; ili</w:t>
      </w:r>
    </w:p>
    <w:p w:rsidR="004F4620" w:rsidRPr="00345335" w:rsidRDefault="004F4620" w:rsidP="00345335">
      <w:pPr>
        <w:pStyle w:val="Odstavekseznama"/>
        <w:numPr>
          <w:ilvl w:val="0"/>
          <w:numId w:val="22"/>
        </w:numPr>
        <w:spacing w:after="120"/>
        <w:contextualSpacing w:val="0"/>
        <w:jc w:val="both"/>
      </w:pPr>
      <w:r w:rsidRPr="00345335">
        <w:t>dogodila se promjena u projektu koja je ugrozila ostvarenje rezultata planiranih u obrascu za prijavu; ili</w:t>
      </w:r>
    </w:p>
    <w:p w:rsidR="004F4620" w:rsidRPr="00345335" w:rsidRDefault="004F4620" w:rsidP="00345335">
      <w:pPr>
        <w:pStyle w:val="Odstavekseznama"/>
        <w:numPr>
          <w:ilvl w:val="0"/>
          <w:numId w:val="22"/>
        </w:numPr>
        <w:spacing w:after="120"/>
        <w:contextualSpacing w:val="0"/>
        <w:jc w:val="both"/>
      </w:pPr>
      <w:r w:rsidRPr="00345335">
        <w:t>su ciljevi i ishodi projekta vrlo neusklađeni s onima koji su odobreni u obrascu za prijavu;</w:t>
      </w:r>
    </w:p>
    <w:p w:rsidR="004F4620" w:rsidRPr="00345335" w:rsidRDefault="00C32597" w:rsidP="00345335">
      <w:pPr>
        <w:pStyle w:val="Odstavekseznama"/>
        <w:numPr>
          <w:ilvl w:val="0"/>
          <w:numId w:val="22"/>
        </w:numPr>
        <w:spacing w:after="120"/>
        <w:contextualSpacing w:val="0"/>
        <w:jc w:val="both"/>
      </w:pPr>
      <w:r w:rsidRPr="00345335">
        <w:t xml:space="preserve">Vodeći </w:t>
      </w:r>
      <w:r w:rsidR="004F4620" w:rsidRPr="00345335">
        <w:t xml:space="preserve">partner nije predao obvezna izvješća ili dokaze ili nije dostavio informacije, uz uvjet da je </w:t>
      </w:r>
      <w:r w:rsidRPr="00345335">
        <w:t xml:space="preserve">Vodeći </w:t>
      </w:r>
      <w:r w:rsidR="004F4620" w:rsidRPr="00345335">
        <w:t>partner primio pisani podsjetnik u kojem se navodi odgovarajući rok i u kojem se izričito navode zakonske posljedice u slučaju neispunjavanja zahtjeva, nije se pridržavao roka; ili</w:t>
      </w:r>
    </w:p>
    <w:p w:rsidR="004F4620" w:rsidRPr="00345335" w:rsidRDefault="00C32597" w:rsidP="00345335">
      <w:pPr>
        <w:pStyle w:val="Odstavekseznama"/>
        <w:numPr>
          <w:ilvl w:val="0"/>
          <w:numId w:val="22"/>
        </w:numPr>
        <w:spacing w:after="120"/>
        <w:contextualSpacing w:val="0"/>
        <w:jc w:val="both"/>
      </w:pPr>
      <w:r w:rsidRPr="00345335">
        <w:t xml:space="preserve">Vodeći </w:t>
      </w:r>
      <w:r w:rsidR="004F4620" w:rsidRPr="00345335">
        <w:t>partner nije odmah prijavio događaje koji odgađaju ili sprječavaju provedbu financiranog projekta ili druge okolnosti koje su dovele do izmjene projekta; ili</w:t>
      </w:r>
    </w:p>
    <w:p w:rsidR="004F4620" w:rsidRPr="00345335" w:rsidRDefault="00C32597" w:rsidP="00345335">
      <w:pPr>
        <w:pStyle w:val="Odstavekseznama"/>
        <w:numPr>
          <w:ilvl w:val="0"/>
          <w:numId w:val="22"/>
        </w:numPr>
        <w:spacing w:after="120"/>
        <w:contextualSpacing w:val="0"/>
        <w:jc w:val="both"/>
      </w:pPr>
      <w:r w:rsidRPr="00345335">
        <w:t xml:space="preserve">izvještavanje </w:t>
      </w:r>
      <w:r w:rsidR="004F4620" w:rsidRPr="00345335">
        <w:t>o projektu ne provodi se u određenim rokovima, što onemogućuje da se provjeri provodi li se projekt u skladu s planom i hoće li ostvariti postavljene ciljeve, rezultate ili ishode; ili</w:t>
      </w:r>
    </w:p>
    <w:p w:rsidR="004F4620" w:rsidRPr="00345335" w:rsidRDefault="00C32597" w:rsidP="00345335">
      <w:pPr>
        <w:pStyle w:val="Odstavekseznama"/>
        <w:numPr>
          <w:ilvl w:val="0"/>
          <w:numId w:val="22"/>
        </w:numPr>
        <w:spacing w:after="120"/>
        <w:contextualSpacing w:val="0"/>
        <w:jc w:val="both"/>
      </w:pPr>
      <w:r w:rsidRPr="00345335">
        <w:t xml:space="preserve">Vodeći </w:t>
      </w:r>
      <w:r w:rsidR="004F4620" w:rsidRPr="00345335">
        <w:t xml:space="preserve">partner ometa ili sprječava </w:t>
      </w:r>
      <w:r w:rsidRPr="00345335">
        <w:t xml:space="preserve">kontrolu </w:t>
      </w:r>
      <w:r w:rsidR="004F4620" w:rsidRPr="00345335">
        <w:t xml:space="preserve">i </w:t>
      </w:r>
      <w:r w:rsidRPr="00345335">
        <w:t>reviziju</w:t>
      </w:r>
      <w:r w:rsidR="004F4620" w:rsidRPr="00345335">
        <w:t>; ili</w:t>
      </w:r>
    </w:p>
    <w:p w:rsidR="004F4620" w:rsidRPr="00345335" w:rsidRDefault="00C32597" w:rsidP="00345335">
      <w:pPr>
        <w:pStyle w:val="Odstavekseznama"/>
        <w:numPr>
          <w:ilvl w:val="0"/>
          <w:numId w:val="22"/>
        </w:numPr>
        <w:spacing w:after="120"/>
        <w:contextualSpacing w:val="0"/>
        <w:jc w:val="both"/>
      </w:pPr>
      <w:r w:rsidRPr="00345335">
        <w:t xml:space="preserve">Vodeći </w:t>
      </w:r>
      <w:r w:rsidR="004F4620" w:rsidRPr="00345335">
        <w:t xml:space="preserve">partner ne ispunjava svoje obveze, uključujući komunikaciju s </w:t>
      </w:r>
      <w:r w:rsidRPr="00345335">
        <w:t xml:space="preserve">Upravljačkim </w:t>
      </w:r>
      <w:r w:rsidR="004F4620" w:rsidRPr="00345335">
        <w:t>tijelom i Zajedničkim tajništvom; ili</w:t>
      </w:r>
    </w:p>
    <w:p w:rsidR="004F4620" w:rsidRPr="00345335" w:rsidRDefault="004F4620" w:rsidP="00345335">
      <w:pPr>
        <w:pStyle w:val="Odstavekseznama"/>
        <w:numPr>
          <w:ilvl w:val="0"/>
          <w:numId w:val="22"/>
        </w:numPr>
        <w:spacing w:after="120"/>
        <w:contextualSpacing w:val="0"/>
        <w:jc w:val="both"/>
      </w:pPr>
      <w:r w:rsidRPr="00345335">
        <w:t xml:space="preserve">dodijeljena </w:t>
      </w:r>
      <w:r w:rsidR="00C32597" w:rsidRPr="00345335">
        <w:t xml:space="preserve">potpora </w:t>
      </w:r>
      <w:r w:rsidRPr="00345335">
        <w:t>potpuno je ili djelomično prenamijenjena za svrhe koje nisu obuhvaćene prijavom; ili</w:t>
      </w:r>
    </w:p>
    <w:p w:rsidR="004F4620" w:rsidRPr="00345335" w:rsidRDefault="004F4620" w:rsidP="00345335">
      <w:pPr>
        <w:pStyle w:val="Odstavekseznama"/>
        <w:numPr>
          <w:ilvl w:val="0"/>
          <w:numId w:val="22"/>
        </w:numPr>
        <w:spacing w:after="120"/>
        <w:contextualSpacing w:val="0"/>
        <w:jc w:val="both"/>
      </w:pPr>
      <w:r w:rsidRPr="00345335">
        <w:lastRenderedPageBreak/>
        <w:t xml:space="preserve">se vodi stečajni postupak nad sredstvima </w:t>
      </w:r>
      <w:r w:rsidR="00582B5B" w:rsidRPr="00345335">
        <w:t xml:space="preserve">Vodećeg </w:t>
      </w:r>
      <w:r w:rsidRPr="00345335">
        <w:t xml:space="preserve">partnera ili je ukinut stečajni postupak zbog nedostatka sredstava za povrat troškova, uz uvjet da to ugrožava ili sprječava provedbu programskih ciljeva, ili </w:t>
      </w:r>
      <w:r w:rsidR="00582B5B" w:rsidRPr="00345335">
        <w:t xml:space="preserve">Vodeći </w:t>
      </w:r>
      <w:r w:rsidRPr="00345335">
        <w:t>partner zatvori tvrtku; ili</w:t>
      </w:r>
    </w:p>
    <w:p w:rsidR="004F4620" w:rsidRPr="00345335" w:rsidRDefault="004F4620" w:rsidP="00345335">
      <w:pPr>
        <w:pStyle w:val="Odstavekseznama"/>
        <w:numPr>
          <w:ilvl w:val="0"/>
          <w:numId w:val="22"/>
        </w:numPr>
        <w:spacing w:after="120"/>
        <w:contextualSpacing w:val="0"/>
        <w:jc w:val="both"/>
      </w:pPr>
      <w:r w:rsidRPr="00345335">
        <w:t xml:space="preserve">na temelju odredbi članka 12. Dodjela, pravno sljedništvo, </w:t>
      </w:r>
      <w:r w:rsidR="00582B5B" w:rsidRPr="00345335">
        <w:t xml:space="preserve">Vodeći </w:t>
      </w:r>
      <w:r w:rsidRPr="00345335">
        <w:t>partner preproda, iznajmi i da u zakup projekt trećoj strani; ili</w:t>
      </w:r>
    </w:p>
    <w:p w:rsidR="004F4620" w:rsidRPr="00345335" w:rsidRDefault="004F4620" w:rsidP="00345335">
      <w:pPr>
        <w:pStyle w:val="Odstavekseznama"/>
        <w:numPr>
          <w:ilvl w:val="0"/>
          <w:numId w:val="22"/>
        </w:numPr>
        <w:spacing w:after="120"/>
        <w:contextualSpacing w:val="0"/>
        <w:jc w:val="both"/>
      </w:pPr>
      <w:r w:rsidRPr="00345335">
        <w:t xml:space="preserve">postane nemoguće utvrditi je li završno izvješće točno, a samim time i </w:t>
      </w:r>
      <w:r w:rsidR="00582B5B" w:rsidRPr="00345335">
        <w:t xml:space="preserve">prihvatljivost </w:t>
      </w:r>
      <w:r w:rsidRPr="00345335">
        <w:t>projekta; ili</w:t>
      </w:r>
    </w:p>
    <w:p w:rsidR="004F4620" w:rsidRPr="00345335" w:rsidRDefault="00582B5B" w:rsidP="00345335">
      <w:pPr>
        <w:pStyle w:val="Odstavekseznama"/>
        <w:numPr>
          <w:ilvl w:val="0"/>
          <w:numId w:val="22"/>
        </w:numPr>
        <w:spacing w:after="120"/>
        <w:contextualSpacing w:val="0"/>
        <w:jc w:val="both"/>
      </w:pPr>
      <w:r w:rsidRPr="00345335">
        <w:t xml:space="preserve">Vodeći </w:t>
      </w:r>
      <w:r w:rsidR="004F4620" w:rsidRPr="00345335">
        <w:t>partner nije uspio ispuniti druge uvjete ili zahtjeve za pomoć propisane ovim Ugovorom, posebno ako ti uvjeti ili odredbe jamče uspješnu provedbu programskih ciljeva.</w:t>
      </w:r>
    </w:p>
    <w:p w:rsidR="004F4620" w:rsidRPr="00345335" w:rsidRDefault="004F4620" w:rsidP="00345335">
      <w:pPr>
        <w:spacing w:after="0" w:line="240" w:lineRule="auto"/>
        <w:contextualSpacing/>
        <w:jc w:val="both"/>
      </w:pPr>
    </w:p>
    <w:p w:rsidR="004F4620" w:rsidRPr="00345335" w:rsidRDefault="004F4620" w:rsidP="00345335">
      <w:pPr>
        <w:pStyle w:val="Odstavekseznama"/>
        <w:numPr>
          <w:ilvl w:val="0"/>
          <w:numId w:val="14"/>
        </w:numPr>
        <w:ind w:left="360"/>
        <w:jc w:val="both"/>
      </w:pPr>
      <w:r w:rsidRPr="00345335">
        <w:t xml:space="preserve">Ako </w:t>
      </w:r>
      <w:r w:rsidR="00BA1FF1" w:rsidRPr="00345335">
        <w:t xml:space="preserve">Upravljačko </w:t>
      </w:r>
      <w:r w:rsidRPr="00345335">
        <w:t xml:space="preserve">tijelo iskoristi svoje pravo na prekid i odluči ukinuti sredstva, </w:t>
      </w:r>
      <w:r w:rsidR="00BA1FF1" w:rsidRPr="00345335">
        <w:t xml:space="preserve">Vodeći </w:t>
      </w:r>
      <w:r w:rsidRPr="00345335">
        <w:t xml:space="preserve">partner obvezan je vratiti sredstva </w:t>
      </w:r>
      <w:r w:rsidR="00BA1FF1" w:rsidRPr="00345335">
        <w:t>Tijelu za ovjeravanje</w:t>
      </w:r>
      <w:r w:rsidRPr="00345335">
        <w:t xml:space="preserve">. Iznos povrata treba uplatiti u roku od 90 kalendarski dana nakon datuma navedenog u pismu u kojem </w:t>
      </w:r>
      <w:r w:rsidR="00A35E25" w:rsidRPr="00345335">
        <w:t>Tijelo za ovjeravanje</w:t>
      </w:r>
      <w:r w:rsidRPr="00345335">
        <w:t xml:space="preserve"> potražuje povrat na temelju informacija primljenih od </w:t>
      </w:r>
      <w:r w:rsidR="00B06CAE" w:rsidRPr="00345335">
        <w:t xml:space="preserve">Upravljačkog </w:t>
      </w:r>
      <w:r w:rsidRPr="00345335">
        <w:t>tijela; rok će biti izričito naveden u zahtjevu za povrat.</w:t>
      </w:r>
    </w:p>
    <w:p w:rsidR="004F4620" w:rsidRPr="00345335" w:rsidRDefault="004F4620" w:rsidP="00345335">
      <w:pPr>
        <w:spacing w:after="0" w:line="240" w:lineRule="auto"/>
        <w:contextualSpacing/>
        <w:jc w:val="both"/>
      </w:pPr>
    </w:p>
    <w:p w:rsidR="004F4620" w:rsidRPr="00345335" w:rsidRDefault="004F4620" w:rsidP="00345335">
      <w:pPr>
        <w:pStyle w:val="Odstavekseznama"/>
        <w:numPr>
          <w:ilvl w:val="0"/>
          <w:numId w:val="14"/>
        </w:numPr>
        <w:ind w:left="360"/>
        <w:jc w:val="both"/>
      </w:pPr>
      <w:r w:rsidRPr="00345335">
        <w:t xml:space="preserve">Ako </w:t>
      </w:r>
      <w:r w:rsidR="00CF6FF8" w:rsidRPr="00345335">
        <w:t xml:space="preserve">Upravljačko </w:t>
      </w:r>
      <w:r w:rsidRPr="00345335">
        <w:t xml:space="preserve">tijelo iskoristi svoje pravo prekida, isključuje se prijeboj </w:t>
      </w:r>
      <w:r w:rsidR="00CF6FF8" w:rsidRPr="00345335">
        <w:t xml:space="preserve">Vodećeg </w:t>
      </w:r>
      <w:r w:rsidRPr="00345335">
        <w:t>partnera, osim ako je njegova tvrdnja neosporna ili je priznata utvrđujućom presudom.</w:t>
      </w:r>
    </w:p>
    <w:p w:rsidR="004F4620" w:rsidRPr="00345335" w:rsidRDefault="004F4620" w:rsidP="00345335">
      <w:pPr>
        <w:spacing w:after="0" w:line="240" w:lineRule="auto"/>
        <w:contextualSpacing/>
        <w:jc w:val="both"/>
      </w:pPr>
    </w:p>
    <w:p w:rsidR="004F4620" w:rsidRPr="00345335" w:rsidRDefault="004F4620" w:rsidP="00345335">
      <w:pPr>
        <w:pStyle w:val="Odstavekseznama"/>
        <w:numPr>
          <w:ilvl w:val="0"/>
          <w:numId w:val="14"/>
        </w:numPr>
        <w:ind w:left="360"/>
        <w:jc w:val="both"/>
      </w:pPr>
      <w:r w:rsidRPr="00345335">
        <w:t xml:space="preserve">Ako se neka od okolnosti navedenih u ovom članku dogodi prije nego što </w:t>
      </w:r>
      <w:r w:rsidR="004722AB" w:rsidRPr="00345335">
        <w:t xml:space="preserve">Vodećem </w:t>
      </w:r>
      <w:r w:rsidRPr="00345335">
        <w:t xml:space="preserve">partneru isplati cijeli iznos </w:t>
      </w:r>
      <w:r w:rsidR="004722AB" w:rsidRPr="00345335">
        <w:t>potpore</w:t>
      </w:r>
      <w:r w:rsidRPr="00345335">
        <w:t>, isplate se mogu ukinuti i ne postoji mogućnost potraživanja isplate preostalog iznosa.</w:t>
      </w:r>
    </w:p>
    <w:p w:rsidR="004F4620" w:rsidRPr="00345335" w:rsidRDefault="004F4620" w:rsidP="00345335">
      <w:pPr>
        <w:spacing w:after="0" w:line="240" w:lineRule="auto"/>
        <w:contextualSpacing/>
        <w:jc w:val="both"/>
      </w:pPr>
    </w:p>
    <w:p w:rsidR="004F4620" w:rsidRPr="00345335" w:rsidRDefault="004F4620" w:rsidP="00345335">
      <w:pPr>
        <w:pStyle w:val="Odstavekseznama"/>
        <w:numPr>
          <w:ilvl w:val="0"/>
          <w:numId w:val="14"/>
        </w:numPr>
        <w:ind w:left="360"/>
        <w:jc w:val="both"/>
      </w:pPr>
      <w:r w:rsidRPr="00345335">
        <w:t>Na sva dodatna pravna potraživanja prethodno navedene odredbe ne utječu.</w:t>
      </w:r>
    </w:p>
    <w:p w:rsidR="004F4620" w:rsidRDefault="004F4620" w:rsidP="00345335">
      <w:pPr>
        <w:spacing w:after="0" w:line="240" w:lineRule="auto"/>
        <w:contextualSpacing/>
        <w:jc w:val="both"/>
      </w:pPr>
    </w:p>
    <w:p w:rsidR="00345335" w:rsidRPr="00345335" w:rsidRDefault="00345335" w:rsidP="00345335">
      <w:pPr>
        <w:spacing w:after="0" w:line="240" w:lineRule="auto"/>
        <w:contextualSpacing/>
        <w:jc w:val="both"/>
      </w:pPr>
    </w:p>
    <w:p w:rsidR="004F4620" w:rsidRPr="00345335" w:rsidRDefault="004F4620" w:rsidP="00345335">
      <w:pPr>
        <w:spacing w:after="0" w:line="240" w:lineRule="auto"/>
        <w:contextualSpacing/>
        <w:jc w:val="center"/>
        <w:rPr>
          <w:b/>
        </w:rPr>
      </w:pPr>
      <w:r w:rsidRPr="00345335">
        <w:rPr>
          <w:b/>
        </w:rPr>
        <w:t>Članak 10.</w:t>
      </w:r>
    </w:p>
    <w:p w:rsidR="004F4620" w:rsidRPr="00345335" w:rsidRDefault="004F4620" w:rsidP="00345335">
      <w:pPr>
        <w:spacing w:after="0" w:line="240" w:lineRule="auto"/>
        <w:contextualSpacing/>
        <w:jc w:val="center"/>
        <w:rPr>
          <w:b/>
        </w:rPr>
      </w:pPr>
      <w:r w:rsidRPr="00345335">
        <w:rPr>
          <w:b/>
        </w:rPr>
        <w:t>Arhiviranje projektnih dokumenata</w:t>
      </w:r>
    </w:p>
    <w:p w:rsidR="004F4620" w:rsidRPr="00345335" w:rsidRDefault="004F4620" w:rsidP="00345335">
      <w:pPr>
        <w:spacing w:after="0" w:line="240" w:lineRule="auto"/>
        <w:contextualSpacing/>
        <w:jc w:val="both"/>
      </w:pPr>
    </w:p>
    <w:p w:rsidR="004F4620" w:rsidRPr="00345335" w:rsidRDefault="004F4620" w:rsidP="00345335">
      <w:pPr>
        <w:spacing w:after="0" w:line="240" w:lineRule="auto"/>
        <w:contextualSpacing/>
        <w:jc w:val="both"/>
      </w:pPr>
      <w:r w:rsidRPr="00345335">
        <w:t xml:space="preserve">Vodeći partner/projektni partneri dužni su radi revizije cijelo vrijeme čuvati sve službene datoteke, dokumente i podatke o projektu u izvornom obliku na siguran i prikladan način tijekom </w:t>
      </w:r>
      <w:r w:rsidR="004C6C83" w:rsidRPr="00345335">
        <w:t xml:space="preserve">dvije </w:t>
      </w:r>
      <w:r w:rsidRPr="00345335">
        <w:t xml:space="preserve">godine od 31. prosinca nakon što </w:t>
      </w:r>
      <w:r w:rsidR="004C6C83" w:rsidRPr="00345335">
        <w:t>Tijelo za ovjeravanje</w:t>
      </w:r>
      <w:r w:rsidRPr="00345335">
        <w:t xml:space="preserve"> Europskoj komisiji podnese račune u koje su uključeni troškovi </w:t>
      </w:r>
      <w:r w:rsidR="004C6C83" w:rsidRPr="00345335">
        <w:t>operacija</w:t>
      </w:r>
      <w:r w:rsidRPr="00345335">
        <w:t xml:space="preserve">. Duža zakonska razdoblja zadržavanja propisana nacionalnim zakonom i uredbama o državnim potporama ostaju nepromijenjena. Vodeći partner/projektni partneri obvezni su pohraniti račune i čuvati ih na u računovodstvenom servisu tako da se mogu lako pronaći i provjeriti radi </w:t>
      </w:r>
      <w:r w:rsidR="00FB479A" w:rsidRPr="00345335">
        <w:t>prvostupanjske kontrole</w:t>
      </w:r>
      <w:r w:rsidRPr="00345335">
        <w:t xml:space="preserve"> i revizije te moraju održavati zapise o računima i tijelima koja čuvaju dokumentaciju u okviru revizije u skladu s člankom 140. Uredbe (EU) br. 1303/2013 te kako je navedeno u </w:t>
      </w:r>
      <w:r w:rsidR="00AC7C88" w:rsidRPr="00345335">
        <w:t xml:space="preserve">Implementacijskom </w:t>
      </w:r>
      <w:r w:rsidRPr="00345335">
        <w:t xml:space="preserve">priručniku za korisnike. Održavani i ažurirani zapisi/popisi raspoloživi su </w:t>
      </w:r>
      <w:r w:rsidR="007E008D" w:rsidRPr="00345335">
        <w:t xml:space="preserve">Upravljačkom </w:t>
      </w:r>
      <w:r w:rsidRPr="00345335">
        <w:t>tijelu ili Zajedničkom tajništvu.</w:t>
      </w:r>
    </w:p>
    <w:p w:rsidR="004F4620" w:rsidRDefault="004F4620" w:rsidP="00345335">
      <w:pPr>
        <w:spacing w:after="0" w:line="240" w:lineRule="auto"/>
        <w:contextualSpacing/>
        <w:jc w:val="center"/>
        <w:rPr>
          <w:b/>
        </w:rPr>
      </w:pPr>
    </w:p>
    <w:p w:rsidR="00345335" w:rsidRPr="00345335" w:rsidRDefault="00345335" w:rsidP="00345335">
      <w:pPr>
        <w:spacing w:after="0" w:line="240" w:lineRule="auto"/>
        <w:contextualSpacing/>
        <w:jc w:val="center"/>
        <w:rPr>
          <w:b/>
        </w:rPr>
      </w:pPr>
    </w:p>
    <w:p w:rsidR="004F4620" w:rsidRPr="00345335" w:rsidRDefault="004F4620" w:rsidP="00345335">
      <w:pPr>
        <w:spacing w:after="0" w:line="240" w:lineRule="auto"/>
        <w:contextualSpacing/>
        <w:jc w:val="center"/>
        <w:rPr>
          <w:b/>
        </w:rPr>
      </w:pPr>
      <w:r w:rsidRPr="00345335">
        <w:rPr>
          <w:b/>
        </w:rPr>
        <w:t>Članak 11.</w:t>
      </w:r>
    </w:p>
    <w:p w:rsidR="004F4620" w:rsidRPr="00345335" w:rsidRDefault="004F4620" w:rsidP="00345335">
      <w:pPr>
        <w:spacing w:after="0" w:line="240" w:lineRule="auto"/>
        <w:contextualSpacing/>
        <w:jc w:val="center"/>
        <w:rPr>
          <w:b/>
        </w:rPr>
      </w:pPr>
      <w:r w:rsidRPr="00345335">
        <w:rPr>
          <w:b/>
        </w:rPr>
        <w:t>Kontrole i revizije</w:t>
      </w:r>
    </w:p>
    <w:p w:rsidR="004F4620" w:rsidRPr="00345335" w:rsidRDefault="004F4620" w:rsidP="00345335">
      <w:pPr>
        <w:spacing w:after="0" w:line="240" w:lineRule="auto"/>
        <w:contextualSpacing/>
        <w:jc w:val="both"/>
      </w:pPr>
    </w:p>
    <w:p w:rsidR="004F4620" w:rsidRPr="00345335" w:rsidRDefault="004F4620" w:rsidP="00345335">
      <w:pPr>
        <w:pStyle w:val="Odstavekseznama"/>
        <w:numPr>
          <w:ilvl w:val="0"/>
          <w:numId w:val="15"/>
        </w:numPr>
        <w:ind w:left="360"/>
        <w:jc w:val="both"/>
      </w:pPr>
      <w:r w:rsidRPr="00345335">
        <w:t>Sv</w:t>
      </w:r>
      <w:r w:rsidR="0065391D" w:rsidRPr="00345335">
        <w:t>e</w:t>
      </w:r>
      <w:r w:rsidRPr="00345335">
        <w:t xml:space="preserve"> troškov</w:t>
      </w:r>
      <w:r w:rsidR="0065391D" w:rsidRPr="00345335">
        <w:t>e</w:t>
      </w:r>
      <w:r w:rsidRPr="00345335">
        <w:t xml:space="preserve"> u svakom izvješću o napretku partnera podnesenom od strane </w:t>
      </w:r>
      <w:r w:rsidR="00A142A9" w:rsidRPr="00345335">
        <w:t xml:space="preserve">Vodećeg </w:t>
      </w:r>
      <w:r w:rsidRPr="00345335">
        <w:t xml:space="preserve">partnera Zajedničkom tajništvu mora provjeriti nacionalna </w:t>
      </w:r>
      <w:r w:rsidR="00A142A9" w:rsidRPr="00345335">
        <w:t xml:space="preserve">prvostupanjska </w:t>
      </w:r>
      <w:r w:rsidRPr="00345335">
        <w:t>kontrola  u skladu s uvjetima navedenim u pravnom okviru članka 1.</w:t>
      </w:r>
    </w:p>
    <w:p w:rsidR="004F4620" w:rsidRPr="00345335" w:rsidRDefault="004F4620" w:rsidP="00345335">
      <w:pPr>
        <w:spacing w:after="0" w:line="240" w:lineRule="auto"/>
        <w:contextualSpacing/>
        <w:jc w:val="both"/>
      </w:pPr>
    </w:p>
    <w:p w:rsidR="004F4620" w:rsidRPr="00345335" w:rsidRDefault="00394E5E" w:rsidP="00345335">
      <w:pPr>
        <w:pStyle w:val="Odstavekseznama"/>
        <w:numPr>
          <w:ilvl w:val="0"/>
          <w:numId w:val="15"/>
        </w:numPr>
        <w:ind w:left="360"/>
        <w:jc w:val="both"/>
      </w:pPr>
      <w:r w:rsidRPr="00345335">
        <w:lastRenderedPageBreak/>
        <w:t>Tijelo za reviziju</w:t>
      </w:r>
      <w:r w:rsidR="004F4620" w:rsidRPr="00345335">
        <w:t xml:space="preserve"> programa </w:t>
      </w:r>
      <w:proofErr w:type="spellStart"/>
      <w:r w:rsidR="004F4620" w:rsidRPr="00345335">
        <w:t>Interreg</w:t>
      </w:r>
      <w:proofErr w:type="spellEnd"/>
      <w:r w:rsidR="004F4620" w:rsidRPr="00345335">
        <w:t xml:space="preserve"> V-A SI-HR, nadležna revizorska tijela EU-a i, u okviru svoje nadležnosti, revizijska tijela država članica EU-a koje sudjeluju u programu koje predstavlja grupa revizora ili drugo nacionalno javno tijelo za reviziju imaju pravo provesti reviziju radi utvrđivanja korist</w:t>
      </w:r>
      <w:r w:rsidR="0065262E" w:rsidRPr="00345335">
        <w:t>i</w:t>
      </w:r>
      <w:r w:rsidR="004F4620" w:rsidRPr="00345335">
        <w:t xml:space="preserve"> li </w:t>
      </w:r>
      <w:r w:rsidR="0065262E" w:rsidRPr="00345335">
        <w:t xml:space="preserve">Vodeći </w:t>
      </w:r>
      <w:r w:rsidR="004F4620" w:rsidRPr="00345335">
        <w:t xml:space="preserve">partner ili projektni partneri sredstva na ispravan način ili dogovoriti da takvu reviziju provedu ovlaštene osobe. </w:t>
      </w:r>
    </w:p>
    <w:p w:rsidR="004F4620" w:rsidRPr="00345335" w:rsidRDefault="004F4620" w:rsidP="00345335">
      <w:pPr>
        <w:spacing w:after="0" w:line="240" w:lineRule="auto"/>
        <w:contextualSpacing/>
        <w:jc w:val="both"/>
      </w:pPr>
    </w:p>
    <w:p w:rsidR="004F4620" w:rsidRPr="00345335" w:rsidRDefault="004F4620" w:rsidP="00345335">
      <w:pPr>
        <w:pStyle w:val="Odstavekseznama"/>
        <w:numPr>
          <w:ilvl w:val="0"/>
          <w:numId w:val="15"/>
        </w:numPr>
        <w:ind w:left="360"/>
        <w:jc w:val="both"/>
      </w:pPr>
      <w:r w:rsidRPr="00345335">
        <w:t>Vodeći partner, kao i projektni partneri izradit će sve dokumente potrebne za prethodno navedene kontrole i reviziju, dostaviti potrebne informacije i omogućiti pristup svojim poslovnim objektima.</w:t>
      </w:r>
    </w:p>
    <w:p w:rsidR="004F4620" w:rsidRPr="00345335" w:rsidRDefault="004F4620" w:rsidP="00345335">
      <w:pPr>
        <w:spacing w:after="0" w:line="240" w:lineRule="auto"/>
        <w:contextualSpacing/>
        <w:jc w:val="both"/>
      </w:pPr>
    </w:p>
    <w:p w:rsidR="004F4620" w:rsidRPr="00345335" w:rsidRDefault="004F4620" w:rsidP="00345335">
      <w:pPr>
        <w:pStyle w:val="Odstavekseznama"/>
        <w:numPr>
          <w:ilvl w:val="0"/>
          <w:numId w:val="15"/>
        </w:numPr>
        <w:ind w:left="360"/>
        <w:jc w:val="both"/>
      </w:pPr>
      <w:r w:rsidRPr="00345335">
        <w:t xml:space="preserve">Upravljačko tijelo ima pravo zadržati sve isplate namijenjene </w:t>
      </w:r>
      <w:r w:rsidR="002245D9" w:rsidRPr="00345335">
        <w:t xml:space="preserve">Vodećem </w:t>
      </w:r>
      <w:r w:rsidRPr="00345335">
        <w:t>partneru dok ne dostavi sve potrebne podatke i dokumentaciju.</w:t>
      </w:r>
    </w:p>
    <w:p w:rsidR="004F4620" w:rsidRPr="00345335" w:rsidRDefault="004F4620" w:rsidP="00345335">
      <w:pPr>
        <w:spacing w:after="0" w:line="240" w:lineRule="auto"/>
        <w:contextualSpacing/>
        <w:jc w:val="both"/>
      </w:pPr>
    </w:p>
    <w:p w:rsidR="004F4620" w:rsidRPr="00345335" w:rsidRDefault="004F4620" w:rsidP="00345335">
      <w:pPr>
        <w:pStyle w:val="Odstavekseznama"/>
        <w:numPr>
          <w:ilvl w:val="0"/>
          <w:numId w:val="15"/>
        </w:numPr>
        <w:ind w:left="360"/>
        <w:jc w:val="both"/>
      </w:pPr>
      <w:r w:rsidRPr="00345335">
        <w:t xml:space="preserve">Ako revizorsko tijelo objavi izjavu o nacionalnim kontrolnim sustavima i definira probleme sustavne prirode, </w:t>
      </w:r>
      <w:r w:rsidR="002245D9" w:rsidRPr="00345335">
        <w:t xml:space="preserve">Upravljačko </w:t>
      </w:r>
      <w:r w:rsidRPr="00345335">
        <w:t xml:space="preserve">tijelo ima pravo obustaviti isplate namijenjene </w:t>
      </w:r>
      <w:r w:rsidR="002245D9" w:rsidRPr="00345335">
        <w:t xml:space="preserve">Vodećem </w:t>
      </w:r>
      <w:r w:rsidRPr="00345335">
        <w:t>partneru dok se ti problemi ne riješe.</w:t>
      </w:r>
    </w:p>
    <w:p w:rsidR="004F4620" w:rsidRDefault="004F4620" w:rsidP="00345335">
      <w:pPr>
        <w:spacing w:after="0" w:line="240" w:lineRule="auto"/>
        <w:contextualSpacing/>
        <w:jc w:val="both"/>
      </w:pPr>
    </w:p>
    <w:p w:rsidR="00345335" w:rsidRPr="00345335" w:rsidRDefault="00345335" w:rsidP="00345335">
      <w:pPr>
        <w:spacing w:after="0" w:line="240" w:lineRule="auto"/>
        <w:contextualSpacing/>
        <w:jc w:val="both"/>
      </w:pPr>
    </w:p>
    <w:p w:rsidR="004F4620" w:rsidRPr="00345335" w:rsidRDefault="004F4620" w:rsidP="00345335">
      <w:pPr>
        <w:spacing w:after="0" w:line="240" w:lineRule="auto"/>
        <w:contextualSpacing/>
        <w:jc w:val="center"/>
        <w:rPr>
          <w:b/>
        </w:rPr>
      </w:pPr>
      <w:r w:rsidRPr="00345335">
        <w:rPr>
          <w:b/>
        </w:rPr>
        <w:t>Članak 12.</w:t>
      </w:r>
    </w:p>
    <w:p w:rsidR="004F4620" w:rsidRPr="00345335" w:rsidRDefault="004F4620" w:rsidP="00345335">
      <w:pPr>
        <w:spacing w:after="0" w:line="240" w:lineRule="auto"/>
        <w:contextualSpacing/>
        <w:jc w:val="center"/>
        <w:rPr>
          <w:b/>
        </w:rPr>
      </w:pPr>
      <w:r w:rsidRPr="00345335">
        <w:rPr>
          <w:b/>
        </w:rPr>
        <w:t xml:space="preserve">Dodjela, pravna </w:t>
      </w:r>
      <w:r w:rsidR="0065391D" w:rsidRPr="00345335">
        <w:rPr>
          <w:b/>
        </w:rPr>
        <w:t>slijednost</w:t>
      </w:r>
    </w:p>
    <w:p w:rsidR="004F4620" w:rsidRPr="00345335" w:rsidRDefault="004F4620" w:rsidP="00345335">
      <w:pPr>
        <w:spacing w:after="0" w:line="240" w:lineRule="auto"/>
        <w:contextualSpacing/>
        <w:jc w:val="center"/>
        <w:rPr>
          <w:b/>
        </w:rPr>
      </w:pPr>
    </w:p>
    <w:p w:rsidR="004F4620" w:rsidRPr="00345335" w:rsidRDefault="004F4620" w:rsidP="00345335">
      <w:pPr>
        <w:pStyle w:val="Odstavekseznama"/>
        <w:numPr>
          <w:ilvl w:val="0"/>
          <w:numId w:val="16"/>
        </w:numPr>
        <w:ind w:left="360"/>
        <w:jc w:val="both"/>
      </w:pPr>
      <w:r w:rsidRPr="00345335">
        <w:t xml:space="preserve">Upravljačko tijelo u svakom trenutku ima pravo prenijeti svoja prava i dužnosti u okviru ovog Ugovora. U slučaju prijenosa, </w:t>
      </w:r>
      <w:r w:rsidR="002245D9" w:rsidRPr="00345335">
        <w:t xml:space="preserve">Upravljačko </w:t>
      </w:r>
      <w:r w:rsidRPr="00345335">
        <w:t xml:space="preserve">će tijelo o tome obavijestiti </w:t>
      </w:r>
      <w:r w:rsidR="002245D9" w:rsidRPr="00345335">
        <w:t xml:space="preserve">Vodećeg </w:t>
      </w:r>
      <w:r w:rsidRPr="00345335">
        <w:t>partnera bez odgađanja.</w:t>
      </w:r>
    </w:p>
    <w:p w:rsidR="004F4620" w:rsidRPr="00345335" w:rsidRDefault="004F4620" w:rsidP="00345335">
      <w:pPr>
        <w:spacing w:after="0" w:line="240" w:lineRule="auto"/>
        <w:contextualSpacing/>
        <w:jc w:val="both"/>
      </w:pPr>
    </w:p>
    <w:p w:rsidR="004F4620" w:rsidRPr="00345335" w:rsidRDefault="004F4620" w:rsidP="00345335">
      <w:pPr>
        <w:pStyle w:val="Odstavekseznama"/>
        <w:numPr>
          <w:ilvl w:val="0"/>
          <w:numId w:val="16"/>
        </w:numPr>
        <w:ind w:left="360"/>
        <w:jc w:val="both"/>
      </w:pPr>
      <w:r w:rsidRPr="00345335">
        <w:t xml:space="preserve">Vodeći partner ima pravo prenijeti svoja prava i obveze u okviru ovog Ugovora nakon prethodnog pisanog pristanka upravljačkog tijela i odgovornog </w:t>
      </w:r>
      <w:r w:rsidR="002245D9" w:rsidRPr="00345335">
        <w:t xml:space="preserve">Odbora </w:t>
      </w:r>
      <w:r w:rsidRPr="00345335">
        <w:t xml:space="preserve">za praćenje. </w:t>
      </w:r>
    </w:p>
    <w:p w:rsidR="004F4620" w:rsidRPr="00345335" w:rsidRDefault="004F4620" w:rsidP="00345335">
      <w:pPr>
        <w:spacing w:after="0" w:line="240" w:lineRule="auto"/>
        <w:contextualSpacing/>
        <w:jc w:val="both"/>
      </w:pPr>
    </w:p>
    <w:p w:rsidR="004F4620" w:rsidRPr="00345335" w:rsidRDefault="004F4620" w:rsidP="00345335">
      <w:pPr>
        <w:pStyle w:val="Odstavekseznama"/>
        <w:numPr>
          <w:ilvl w:val="0"/>
          <w:numId w:val="16"/>
        </w:numPr>
        <w:ind w:left="360"/>
        <w:jc w:val="both"/>
      </w:pPr>
      <w:r w:rsidRPr="00345335">
        <w:t>U slučaju pravne sl</w:t>
      </w:r>
      <w:r w:rsidR="0065391D" w:rsidRPr="00345335">
        <w:t>i</w:t>
      </w:r>
      <w:r w:rsidRPr="00345335">
        <w:t>jed</w:t>
      </w:r>
      <w:r w:rsidR="0065391D" w:rsidRPr="00345335">
        <w:t>n</w:t>
      </w:r>
      <w:r w:rsidRPr="00345335">
        <w:t xml:space="preserve">osti, npr. ako </w:t>
      </w:r>
      <w:r w:rsidR="002245D9" w:rsidRPr="00345335">
        <w:t xml:space="preserve">Vodeći </w:t>
      </w:r>
      <w:r w:rsidRPr="00345335">
        <w:t xml:space="preserve">partner ili projektni partner promijeni svoj pravni oblik, </w:t>
      </w:r>
      <w:r w:rsidR="002245D9" w:rsidRPr="00345335">
        <w:t xml:space="preserve">Vodeći </w:t>
      </w:r>
      <w:r w:rsidRPr="00345335">
        <w:t xml:space="preserve">partner ili projektni partner mora prenijeti sve obveze u okviru ovog Ugovora pravnom </w:t>
      </w:r>
      <w:r w:rsidR="0065391D" w:rsidRPr="00345335">
        <w:t>slijedniku</w:t>
      </w:r>
      <w:r w:rsidRPr="00345335">
        <w:t xml:space="preserve">. Vodeći partner mora pismenim putem obavijestiti </w:t>
      </w:r>
      <w:r w:rsidR="002245D9" w:rsidRPr="00345335">
        <w:t xml:space="preserve">Upravljačko </w:t>
      </w:r>
      <w:r w:rsidRPr="00345335">
        <w:t>tijelo o svakoj promjeni, prije nego što do nje dođe.</w:t>
      </w:r>
    </w:p>
    <w:p w:rsidR="004F4620" w:rsidRDefault="004F4620" w:rsidP="00345335">
      <w:pPr>
        <w:spacing w:after="0" w:line="240" w:lineRule="auto"/>
        <w:contextualSpacing/>
        <w:jc w:val="center"/>
      </w:pPr>
    </w:p>
    <w:p w:rsidR="00345335" w:rsidRPr="00345335" w:rsidRDefault="00345335" w:rsidP="00345335">
      <w:pPr>
        <w:spacing w:after="0" w:line="240" w:lineRule="auto"/>
        <w:contextualSpacing/>
        <w:jc w:val="center"/>
      </w:pPr>
    </w:p>
    <w:p w:rsidR="004F4620" w:rsidRPr="00345335" w:rsidRDefault="004F4620" w:rsidP="00345335">
      <w:pPr>
        <w:spacing w:after="0" w:line="240" w:lineRule="auto"/>
        <w:contextualSpacing/>
        <w:jc w:val="center"/>
        <w:rPr>
          <w:b/>
        </w:rPr>
      </w:pPr>
      <w:r w:rsidRPr="00345335">
        <w:rPr>
          <w:b/>
        </w:rPr>
        <w:t>Članak 13.</w:t>
      </w:r>
    </w:p>
    <w:p w:rsidR="004F4620" w:rsidRPr="00345335" w:rsidRDefault="004F4620" w:rsidP="00345335">
      <w:pPr>
        <w:spacing w:after="0" w:line="240" w:lineRule="auto"/>
        <w:contextualSpacing/>
        <w:jc w:val="center"/>
        <w:rPr>
          <w:b/>
        </w:rPr>
      </w:pPr>
      <w:r w:rsidRPr="00345335">
        <w:rPr>
          <w:b/>
        </w:rPr>
        <w:t>Zaključne odredbe</w:t>
      </w:r>
    </w:p>
    <w:p w:rsidR="004F4620" w:rsidRPr="00345335" w:rsidRDefault="004F4620" w:rsidP="00345335">
      <w:pPr>
        <w:spacing w:after="0" w:line="240" w:lineRule="auto"/>
        <w:contextualSpacing/>
        <w:jc w:val="both"/>
      </w:pPr>
    </w:p>
    <w:p w:rsidR="004F4620" w:rsidRPr="00345335" w:rsidRDefault="004F4620" w:rsidP="00345335">
      <w:pPr>
        <w:pStyle w:val="Odstavekseznama"/>
        <w:numPr>
          <w:ilvl w:val="0"/>
          <w:numId w:val="17"/>
        </w:numPr>
        <w:ind w:left="360"/>
        <w:jc w:val="both"/>
      </w:pPr>
      <w:r w:rsidRPr="00345335">
        <w:t>Ovaj Ugovor stupa na snagu na dan potpisivanja obiju strana, traje tijekom odobrenog vremena trajanja projekta te ističe samo nakon datuma retencije radi revizije, kako je propisano člankom 10. ovog Ugovora. Posebne odredbe navedene u članku 1. Pravni okvir u pogledu npr. arhiviranja, prava vlasništva, generiranj</w:t>
      </w:r>
      <w:r w:rsidR="0065391D" w:rsidRPr="00345335">
        <w:t>a</w:t>
      </w:r>
      <w:r w:rsidRPr="00345335">
        <w:t xml:space="preserve"> prihoda, revizijskog traga, revizije i promidžbenih mjera, nepravilnosti vrijede za </w:t>
      </w:r>
      <w:r w:rsidR="00F14008" w:rsidRPr="00345335">
        <w:t xml:space="preserve">Vodećeg </w:t>
      </w:r>
      <w:r w:rsidRPr="00345335">
        <w:t>partnera i projektne partnere i nakon isteka Ugovora o sufinanciranju.</w:t>
      </w:r>
    </w:p>
    <w:p w:rsidR="004F4620" w:rsidRPr="00345335" w:rsidRDefault="004F4620" w:rsidP="00345335">
      <w:pPr>
        <w:spacing w:after="0" w:line="240" w:lineRule="auto"/>
        <w:contextualSpacing/>
        <w:jc w:val="both"/>
      </w:pPr>
    </w:p>
    <w:p w:rsidR="004F4620" w:rsidRPr="00345335" w:rsidRDefault="004F4620" w:rsidP="00345335">
      <w:pPr>
        <w:pStyle w:val="Odstavekseznama"/>
        <w:numPr>
          <w:ilvl w:val="0"/>
          <w:numId w:val="17"/>
        </w:numPr>
        <w:ind w:left="360"/>
        <w:jc w:val="both"/>
      </w:pPr>
      <w:r w:rsidRPr="00345335">
        <w:t>Program koristi elektronički sustav za izvješćivanje, prijavu za izmjene projekta i druge postupke povezane s provedbom projekta. Svaki je korisnik odgovoran za čuvanje svojeg korisničkog imena i zaporke te je odgovoran za sve aktivnosti koje se pomoću njegovog korisničkog imena provode.</w:t>
      </w:r>
    </w:p>
    <w:p w:rsidR="004F4620" w:rsidRPr="00345335" w:rsidRDefault="004F4620" w:rsidP="00345335">
      <w:pPr>
        <w:spacing w:after="0" w:line="240" w:lineRule="auto"/>
        <w:contextualSpacing/>
        <w:jc w:val="both"/>
      </w:pPr>
    </w:p>
    <w:p w:rsidR="004F4620" w:rsidRPr="00345335" w:rsidRDefault="004F4620" w:rsidP="00345335">
      <w:pPr>
        <w:pStyle w:val="Odstavekseznama"/>
        <w:numPr>
          <w:ilvl w:val="0"/>
          <w:numId w:val="17"/>
        </w:numPr>
        <w:ind w:left="360"/>
        <w:jc w:val="both"/>
      </w:pPr>
      <w:r w:rsidRPr="00345335">
        <w:t xml:space="preserve">Sva korespondencija između </w:t>
      </w:r>
      <w:r w:rsidR="00FE7A07" w:rsidRPr="00345335">
        <w:t xml:space="preserve">Upravljačkog </w:t>
      </w:r>
      <w:r w:rsidRPr="00345335">
        <w:t xml:space="preserve">tijela i Zajedničkog </w:t>
      </w:r>
      <w:r w:rsidR="0065391D" w:rsidRPr="00345335">
        <w:t>tajništva</w:t>
      </w:r>
      <w:r w:rsidRPr="00345335">
        <w:t xml:space="preserve"> na temelju ovog Ugovora mora biti u pisanom obliku, poslana putem sustava za e-nadzor te dvojezična (na slovenskom i hrvatskom jeziku). Engleski jezik s</w:t>
      </w:r>
      <w:r w:rsidR="0065391D" w:rsidRPr="00345335">
        <w:t>e</w:t>
      </w:r>
      <w:r w:rsidRPr="00345335">
        <w:t xml:space="preserve"> d</w:t>
      </w:r>
      <w:r w:rsidR="00FE7A07" w:rsidRPr="00345335">
        <w:t>o</w:t>
      </w:r>
      <w:r w:rsidRPr="00345335">
        <w:t>pušta samo u iznimnim slučajevima.</w:t>
      </w:r>
    </w:p>
    <w:p w:rsidR="004F4620" w:rsidRPr="00345335" w:rsidRDefault="004F4620" w:rsidP="00345335">
      <w:pPr>
        <w:pStyle w:val="Odstavekseznama"/>
        <w:ind w:left="360"/>
      </w:pPr>
    </w:p>
    <w:p w:rsidR="004F4620" w:rsidRPr="00345335" w:rsidRDefault="004F4620" w:rsidP="00345335">
      <w:pPr>
        <w:pStyle w:val="Odstavekseznama"/>
        <w:numPr>
          <w:ilvl w:val="0"/>
          <w:numId w:val="17"/>
        </w:numPr>
        <w:ind w:left="360"/>
        <w:jc w:val="both"/>
      </w:pPr>
      <w:r w:rsidRPr="00345335">
        <w:t xml:space="preserve">Osoba za kontakt odgovorna za izvršenje ovog Ugovora za Zajedničko tajništvo u ime </w:t>
      </w:r>
      <w:r w:rsidR="00FE7A07" w:rsidRPr="00345335">
        <w:t xml:space="preserve">Upravljačkog </w:t>
      </w:r>
      <w:r w:rsidRPr="00345335">
        <w:t xml:space="preserve">tijela je </w:t>
      </w:r>
      <w:r w:rsidR="00345335" w:rsidRPr="002760F9">
        <w:rPr>
          <w:i/>
          <w:highlight w:val="lightGray"/>
        </w:rPr>
        <w:t>&lt;</w:t>
      </w:r>
      <w:r w:rsidRPr="002760F9">
        <w:rPr>
          <w:i/>
          <w:highlight w:val="lightGray"/>
        </w:rPr>
        <w:t>me člana Zajedničkog tajništv</w:t>
      </w:r>
      <w:r w:rsidR="00345335" w:rsidRPr="002760F9">
        <w:rPr>
          <w:i/>
          <w:highlight w:val="lightGray"/>
        </w:rPr>
        <w:t>a&gt;</w:t>
      </w:r>
      <w:r w:rsidRPr="00345335">
        <w:t>.</w:t>
      </w:r>
    </w:p>
    <w:p w:rsidR="004F4620" w:rsidRPr="00345335" w:rsidRDefault="004F4620" w:rsidP="00345335">
      <w:pPr>
        <w:spacing w:after="0" w:line="240" w:lineRule="auto"/>
        <w:contextualSpacing/>
        <w:jc w:val="both"/>
      </w:pPr>
    </w:p>
    <w:p w:rsidR="004F4620" w:rsidRPr="00345335" w:rsidRDefault="004F4620" w:rsidP="00345335">
      <w:pPr>
        <w:pStyle w:val="Odstavekseznama"/>
        <w:numPr>
          <w:ilvl w:val="0"/>
          <w:numId w:val="17"/>
        </w:numPr>
        <w:ind w:left="360"/>
        <w:jc w:val="both"/>
      </w:pPr>
      <w:r w:rsidRPr="00345335">
        <w:t>Sve informacije povezane s program</w:t>
      </w:r>
      <w:r w:rsidR="00FE7A07" w:rsidRPr="00345335">
        <w:t>om</w:t>
      </w:r>
      <w:r w:rsidRPr="00345335">
        <w:t xml:space="preserve"> za </w:t>
      </w:r>
      <w:r w:rsidR="00FE7A07" w:rsidRPr="00345335">
        <w:t xml:space="preserve">Vodećeg </w:t>
      </w:r>
      <w:r w:rsidRPr="00345335">
        <w:t xml:space="preserve">partnera i projektne partnere </w:t>
      </w:r>
      <w:r w:rsidR="00FE7A07" w:rsidRPr="00345335">
        <w:t xml:space="preserve">dostupne su </w:t>
      </w:r>
      <w:r w:rsidRPr="00345335">
        <w:t xml:space="preserve">na mrežnoj stranici programa </w:t>
      </w:r>
      <w:hyperlink r:id="rId9" w:history="1">
        <w:r w:rsidR="00FE7A07" w:rsidRPr="00345335">
          <w:rPr>
            <w:rStyle w:val="Hiperpovezava"/>
          </w:rPr>
          <w:t>www.si-hr.eu</w:t>
        </w:r>
      </w:hyperlink>
      <w:r w:rsidR="00FE7A07" w:rsidRPr="00345335">
        <w:t xml:space="preserve"> </w:t>
      </w:r>
      <w:r w:rsidRPr="00345335">
        <w:t>na slovenskom, hrvatskom ili engleskom jeziku.</w:t>
      </w:r>
    </w:p>
    <w:p w:rsidR="004F4620" w:rsidRPr="00345335" w:rsidRDefault="004F4620" w:rsidP="00345335">
      <w:pPr>
        <w:spacing w:after="0" w:line="240" w:lineRule="auto"/>
        <w:contextualSpacing/>
        <w:jc w:val="both"/>
      </w:pPr>
    </w:p>
    <w:p w:rsidR="004F4620" w:rsidRPr="00345335" w:rsidRDefault="004F4620" w:rsidP="00345335">
      <w:pPr>
        <w:pStyle w:val="Odstavekseznama"/>
        <w:numPr>
          <w:ilvl w:val="0"/>
          <w:numId w:val="17"/>
        </w:numPr>
        <w:ind w:left="360"/>
        <w:jc w:val="both"/>
      </w:pPr>
      <w:r w:rsidRPr="00345335">
        <w:t>Ako je neka odredba ovog Ugovora djelomično ili u cijelosti nedjelotvorna, ugovorne strane zamijenit će nedjelotvornu odredbu djelotvornom koja je što sličnija svrsi nedjelotvorne odredbe. Taj postupak provode relevantne strane u pisanom obliku. U slučaju nesuglasica koje nisu pokrivene ovim Ugovorom, ugovorne strane pokušat će pronaći uzajamno rješenje problema.</w:t>
      </w:r>
    </w:p>
    <w:p w:rsidR="004F4620" w:rsidRPr="00345335" w:rsidRDefault="004F4620" w:rsidP="00345335">
      <w:pPr>
        <w:spacing w:after="0" w:line="240" w:lineRule="auto"/>
        <w:contextualSpacing/>
        <w:jc w:val="both"/>
      </w:pPr>
    </w:p>
    <w:p w:rsidR="004F4620" w:rsidRPr="00345335" w:rsidRDefault="004F4620" w:rsidP="00345335">
      <w:pPr>
        <w:pStyle w:val="Odstavekseznama"/>
        <w:numPr>
          <w:ilvl w:val="0"/>
          <w:numId w:val="17"/>
        </w:numPr>
        <w:ind w:left="360"/>
        <w:jc w:val="both"/>
      </w:pPr>
      <w:r w:rsidRPr="00345335">
        <w:t>Izmjene i dopune ovog Ugovora i svako odricanje od zahtjeva za pisani oblik, mora biti u pismenom obliku i poslan putem sustava za e-nadzor.</w:t>
      </w:r>
    </w:p>
    <w:p w:rsidR="004F4620" w:rsidRPr="00345335" w:rsidRDefault="004F4620" w:rsidP="00345335">
      <w:pPr>
        <w:spacing w:after="0" w:line="240" w:lineRule="auto"/>
        <w:contextualSpacing/>
        <w:jc w:val="both"/>
      </w:pPr>
    </w:p>
    <w:p w:rsidR="004F4620" w:rsidRPr="00345335" w:rsidRDefault="004F4620" w:rsidP="00345335">
      <w:pPr>
        <w:pStyle w:val="Odstavekseznama"/>
        <w:numPr>
          <w:ilvl w:val="0"/>
          <w:numId w:val="17"/>
        </w:numPr>
        <w:ind w:left="360"/>
        <w:jc w:val="both"/>
      </w:pPr>
      <w:r w:rsidRPr="00345335">
        <w:t xml:space="preserve">Na sve odluke koje donese </w:t>
      </w:r>
      <w:r w:rsidR="00665DDD" w:rsidRPr="00345335">
        <w:t xml:space="preserve">Upravljačko </w:t>
      </w:r>
      <w:r w:rsidRPr="00345335">
        <w:t xml:space="preserve">tijelo ili Zajedničko tajništvo moguće je uložiti žalbu u skladu s određenim žalbenim postupcima koje je propisalo </w:t>
      </w:r>
      <w:r w:rsidR="00665DDD" w:rsidRPr="00345335">
        <w:t xml:space="preserve">Upravljačko </w:t>
      </w:r>
      <w:r w:rsidRPr="00345335">
        <w:t>tijelo i Zajedničko tajništvo.</w:t>
      </w:r>
    </w:p>
    <w:p w:rsidR="004F4620" w:rsidRPr="00345335" w:rsidRDefault="004F4620" w:rsidP="00345335">
      <w:pPr>
        <w:spacing w:after="0" w:line="240" w:lineRule="auto"/>
        <w:contextualSpacing/>
        <w:jc w:val="both"/>
      </w:pPr>
    </w:p>
    <w:p w:rsidR="004F4620" w:rsidRPr="00345335" w:rsidRDefault="004F4620" w:rsidP="00345335">
      <w:pPr>
        <w:pStyle w:val="Odstavekseznama"/>
        <w:numPr>
          <w:ilvl w:val="0"/>
          <w:numId w:val="17"/>
        </w:numPr>
        <w:ind w:left="360"/>
        <w:jc w:val="both"/>
      </w:pPr>
      <w:r w:rsidRPr="00345335">
        <w:t xml:space="preserve">Ovaj Ugovor podliježe zakonima Republike Slovenije. Mjesto jurisdikcije je Okružni sud u Ljubljani, Republika Slovenija. </w:t>
      </w:r>
    </w:p>
    <w:p w:rsidR="004F4620" w:rsidRPr="00345335" w:rsidRDefault="004F4620" w:rsidP="00345335">
      <w:pPr>
        <w:spacing w:after="0" w:line="240" w:lineRule="auto"/>
        <w:contextualSpacing/>
        <w:jc w:val="both"/>
      </w:pPr>
    </w:p>
    <w:p w:rsidR="004F4620" w:rsidRPr="00345335" w:rsidRDefault="004F4620" w:rsidP="00345335">
      <w:pPr>
        <w:spacing w:after="0" w:line="240" w:lineRule="auto"/>
        <w:contextualSpacing/>
        <w:jc w:val="both"/>
      </w:pPr>
    </w:p>
    <w:p w:rsidR="004F4620" w:rsidRPr="00345335" w:rsidRDefault="004F4620" w:rsidP="00345335">
      <w:pPr>
        <w:spacing w:after="0" w:line="240" w:lineRule="auto"/>
        <w:contextualSpacing/>
        <w:jc w:val="both"/>
        <w:rPr>
          <w:b/>
        </w:rPr>
      </w:pPr>
      <w:r w:rsidRPr="00345335">
        <w:rPr>
          <w:b/>
        </w:rPr>
        <w:t>Potpisi:</w:t>
      </w:r>
    </w:p>
    <w:p w:rsidR="004F4620" w:rsidRPr="00345335" w:rsidRDefault="004F4620" w:rsidP="00345335">
      <w:pPr>
        <w:spacing w:after="0" w:line="240" w:lineRule="auto"/>
        <w:contextualSpacing/>
        <w:jc w:val="both"/>
        <w:rPr>
          <w:b/>
        </w:rPr>
      </w:pPr>
    </w:p>
    <w:tbl>
      <w:tblPr>
        <w:tblStyle w:val="Tabelamrea"/>
        <w:tblW w:w="0" w:type="auto"/>
        <w:tblLook w:val="04A0" w:firstRow="1" w:lastRow="0" w:firstColumn="1" w:lastColumn="0" w:noHBand="0" w:noVBand="1"/>
      </w:tblPr>
      <w:tblGrid>
        <w:gridCol w:w="4531"/>
        <w:gridCol w:w="4531"/>
      </w:tblGrid>
      <w:tr w:rsidR="004F4620" w:rsidRPr="00345335" w:rsidTr="002760F9">
        <w:tc>
          <w:tcPr>
            <w:tcW w:w="4531" w:type="dxa"/>
          </w:tcPr>
          <w:p w:rsidR="004F4620" w:rsidRPr="00345335" w:rsidRDefault="004F4620" w:rsidP="00345335">
            <w:pPr>
              <w:contextualSpacing/>
              <w:jc w:val="both"/>
            </w:pPr>
            <w:r w:rsidRPr="00345335">
              <w:t xml:space="preserve">Mjesto i datum: </w:t>
            </w:r>
          </w:p>
          <w:p w:rsidR="004F4620" w:rsidRPr="00345335" w:rsidRDefault="004F4620" w:rsidP="00345335">
            <w:pPr>
              <w:contextualSpacing/>
              <w:jc w:val="both"/>
            </w:pPr>
            <w:r w:rsidRPr="00345335">
              <w:br/>
              <w:t>…………………………………………………</w:t>
            </w:r>
            <w:r w:rsidRPr="00345335">
              <w:br/>
              <w:t>Potpis</w:t>
            </w:r>
          </w:p>
          <w:p w:rsidR="004F4620" w:rsidRPr="00345335" w:rsidRDefault="00665DDD" w:rsidP="00345335">
            <w:pPr>
              <w:contextualSpacing/>
              <w:jc w:val="both"/>
              <w:rPr>
                <w:b/>
              </w:rPr>
            </w:pPr>
            <w:r w:rsidRPr="00345335">
              <w:rPr>
                <w:b/>
              </w:rPr>
              <w:t>Čelnik Upravljačkog tijela</w:t>
            </w:r>
          </w:p>
          <w:p w:rsidR="004F4620" w:rsidRPr="00345335" w:rsidRDefault="004F4620" w:rsidP="00345335">
            <w:pPr>
              <w:contextualSpacing/>
              <w:jc w:val="both"/>
              <w:rPr>
                <w:b/>
              </w:rPr>
            </w:pPr>
            <w:r w:rsidRPr="00345335">
              <w:t xml:space="preserve">Vladin ured za razvoj i europsku kohezijsku politiku, </w:t>
            </w:r>
            <w:proofErr w:type="spellStart"/>
            <w:r w:rsidRPr="00345335">
              <w:t>Kotnikova</w:t>
            </w:r>
            <w:proofErr w:type="spellEnd"/>
            <w:r w:rsidRPr="00345335">
              <w:t xml:space="preserve"> 5, SI – 1000 Ljubljana, Slovenija </w:t>
            </w:r>
          </w:p>
        </w:tc>
        <w:tc>
          <w:tcPr>
            <w:tcW w:w="4531" w:type="dxa"/>
          </w:tcPr>
          <w:p w:rsidR="004F4620" w:rsidRPr="00345335" w:rsidRDefault="004F4620" w:rsidP="00345335">
            <w:pPr>
              <w:contextualSpacing/>
              <w:jc w:val="both"/>
            </w:pPr>
            <w:r w:rsidRPr="00345335">
              <w:t xml:space="preserve">Mjesto i datum:  ………………… </w:t>
            </w:r>
          </w:p>
          <w:p w:rsidR="004F4620" w:rsidRPr="00345335" w:rsidRDefault="004F4620" w:rsidP="00345335">
            <w:pPr>
              <w:contextualSpacing/>
              <w:jc w:val="both"/>
            </w:pPr>
            <w:r w:rsidRPr="00345335">
              <w:br/>
              <w:t>…………………………………………………</w:t>
            </w:r>
            <w:r w:rsidRPr="00345335">
              <w:br/>
              <w:t>Potpis</w:t>
            </w:r>
          </w:p>
          <w:p w:rsidR="004F4620" w:rsidRPr="00345335" w:rsidRDefault="00C13BB3" w:rsidP="00345335">
            <w:pPr>
              <w:contextualSpacing/>
              <w:jc w:val="both"/>
              <w:rPr>
                <w:i/>
              </w:rPr>
            </w:pPr>
            <w:r w:rsidRPr="00345335">
              <w:rPr>
                <w:b/>
                <w:i/>
                <w:highlight w:val="lightGray"/>
              </w:rPr>
              <w:t>&lt;</w:t>
            </w:r>
            <w:r w:rsidR="004F4620" w:rsidRPr="00345335">
              <w:rPr>
                <w:b/>
                <w:i/>
                <w:highlight w:val="lightGray"/>
              </w:rPr>
              <w:t>Ime</w:t>
            </w:r>
            <w:r w:rsidRPr="00345335">
              <w:rPr>
                <w:b/>
                <w:i/>
                <w:highlight w:val="lightGray"/>
              </w:rPr>
              <w:t>&gt;</w:t>
            </w:r>
            <w:r w:rsidR="004F4620" w:rsidRPr="00345335">
              <w:rPr>
                <w:i/>
                <w:highlight w:val="lightGray"/>
              </w:rPr>
              <w:br/>
            </w:r>
            <w:r w:rsidRPr="00345335">
              <w:rPr>
                <w:i/>
                <w:highlight w:val="lightGray"/>
              </w:rPr>
              <w:t>&lt;</w:t>
            </w:r>
            <w:r w:rsidR="004F4620" w:rsidRPr="00345335">
              <w:rPr>
                <w:i/>
                <w:highlight w:val="lightGray"/>
              </w:rPr>
              <w:t>Titula</w:t>
            </w:r>
            <w:r w:rsidRPr="00345335">
              <w:rPr>
                <w:i/>
                <w:highlight w:val="lightGray"/>
              </w:rPr>
              <w:t>&gt;</w:t>
            </w:r>
            <w:r w:rsidR="004F4620" w:rsidRPr="00345335">
              <w:rPr>
                <w:i/>
                <w:highlight w:val="lightGray"/>
              </w:rPr>
              <w:br/>
            </w:r>
            <w:r w:rsidRPr="00345335">
              <w:rPr>
                <w:i/>
                <w:highlight w:val="lightGray"/>
              </w:rPr>
              <w:t>&lt;</w:t>
            </w:r>
            <w:r w:rsidR="004F4620" w:rsidRPr="00345335">
              <w:rPr>
                <w:i/>
                <w:highlight w:val="lightGray"/>
              </w:rPr>
              <w:t>Naziv organizacije</w:t>
            </w:r>
            <w:r w:rsidRPr="00345335">
              <w:rPr>
                <w:i/>
                <w:highlight w:val="lightGray"/>
              </w:rPr>
              <w:t>&gt;</w:t>
            </w:r>
          </w:p>
          <w:p w:rsidR="004F4620" w:rsidRPr="00345335" w:rsidRDefault="004F4620" w:rsidP="00345335">
            <w:pPr>
              <w:contextualSpacing/>
              <w:jc w:val="both"/>
            </w:pPr>
            <w:r w:rsidRPr="00345335">
              <w:t>Pečat organizacije (ako postoji)</w:t>
            </w:r>
          </w:p>
        </w:tc>
      </w:tr>
    </w:tbl>
    <w:p w:rsidR="004F4620" w:rsidRPr="00345335" w:rsidRDefault="004F4620" w:rsidP="00345335">
      <w:pPr>
        <w:spacing w:after="0" w:line="240" w:lineRule="auto"/>
        <w:contextualSpacing/>
        <w:jc w:val="both"/>
        <w:rPr>
          <w:b/>
        </w:rPr>
      </w:pPr>
    </w:p>
    <w:p w:rsidR="00574C76" w:rsidRPr="00345335" w:rsidRDefault="00574C76" w:rsidP="00345335">
      <w:pPr>
        <w:spacing w:after="0" w:line="240" w:lineRule="auto"/>
        <w:contextualSpacing/>
      </w:pPr>
    </w:p>
    <w:sectPr w:rsidR="00574C76" w:rsidRPr="00345335" w:rsidSect="002760F9">
      <w:headerReference w:type="default" r:id="rId10"/>
      <w:footerReference w:type="default" r:id="rId11"/>
      <w:headerReference w:type="first" r:id="rId12"/>
      <w:footerReference w:type="firs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0F9" w:rsidRDefault="002760F9">
      <w:pPr>
        <w:spacing w:after="0" w:line="240" w:lineRule="auto"/>
      </w:pPr>
      <w:r>
        <w:separator/>
      </w:r>
    </w:p>
  </w:endnote>
  <w:endnote w:type="continuationSeparator" w:id="0">
    <w:p w:rsidR="002760F9" w:rsidRDefault="0027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1231268568"/>
      <w:docPartObj>
        <w:docPartGallery w:val="Page Numbers (Bottom of Page)"/>
        <w:docPartUnique/>
      </w:docPartObj>
    </w:sdtPr>
    <w:sdtEndPr/>
    <w:sdtContent>
      <w:p w:rsidR="002760F9" w:rsidRPr="00D33DCA" w:rsidRDefault="002760F9" w:rsidP="00D33DCA">
        <w:pPr>
          <w:pStyle w:val="Noga"/>
          <w:pBdr>
            <w:bottom w:val="single" w:sz="6" w:space="1" w:color="auto"/>
          </w:pBdr>
          <w:jc w:val="right"/>
          <w:rPr>
            <w:rFonts w:ascii="Calibri" w:hAnsi="Calibri"/>
            <w:sz w:val="22"/>
          </w:rPr>
        </w:pPr>
        <w:r w:rsidRPr="00D33DCA">
          <w:rPr>
            <w:rFonts w:ascii="Calibri" w:hAnsi="Calibri"/>
            <w:sz w:val="22"/>
          </w:rPr>
          <w:fldChar w:fldCharType="begin"/>
        </w:r>
        <w:r w:rsidRPr="00D33DCA">
          <w:rPr>
            <w:rFonts w:ascii="Calibri" w:hAnsi="Calibri"/>
            <w:sz w:val="22"/>
          </w:rPr>
          <w:instrText>PAGE   \* MERGEFORMAT</w:instrText>
        </w:r>
        <w:r w:rsidRPr="00D33DCA">
          <w:rPr>
            <w:rFonts w:ascii="Calibri" w:hAnsi="Calibri"/>
            <w:sz w:val="22"/>
          </w:rPr>
          <w:fldChar w:fldCharType="separate"/>
        </w:r>
        <w:r w:rsidR="00FD4379">
          <w:rPr>
            <w:rFonts w:ascii="Calibri" w:hAnsi="Calibri"/>
            <w:noProof/>
            <w:sz w:val="22"/>
          </w:rPr>
          <w:t>12</w:t>
        </w:r>
        <w:r w:rsidRPr="00D33DCA">
          <w:rPr>
            <w:rFonts w:ascii="Calibri" w:hAnsi="Calibri"/>
            <w:sz w:val="22"/>
          </w:rPr>
          <w:fldChar w:fldCharType="end"/>
        </w:r>
      </w:p>
      <w:p w:rsidR="002760F9" w:rsidRPr="00D33DCA" w:rsidRDefault="00FD4379" w:rsidP="00D33DCA">
        <w:pPr>
          <w:pStyle w:val="Noga"/>
          <w:pBdr>
            <w:bottom w:val="single" w:sz="6" w:space="1" w:color="auto"/>
          </w:pBdr>
          <w:jc w:val="center"/>
          <w:rPr>
            <w:sz w:val="22"/>
          </w:rPr>
        </w:pPr>
      </w:p>
    </w:sdtContent>
  </w:sdt>
  <w:p w:rsidR="002760F9" w:rsidRPr="00D33DCA" w:rsidRDefault="002760F9" w:rsidP="00D33DCA">
    <w:pPr>
      <w:pStyle w:val="Noga"/>
      <w:jc w:val="right"/>
      <w:rPr>
        <w:rFonts w:ascii="Calibri" w:hAnsi="Calibri"/>
        <w:i/>
        <w:color w:val="808080" w:themeColor="background1" w:themeShade="80"/>
        <w:sz w:val="22"/>
      </w:rPr>
    </w:pPr>
    <w:r w:rsidRPr="00D33DCA">
      <w:rPr>
        <w:rFonts w:ascii="Calibri" w:hAnsi="Calibri"/>
        <w:i/>
        <w:color w:val="808080" w:themeColor="background1" w:themeShade="80"/>
        <w:sz w:val="22"/>
      </w:rPr>
      <w:t xml:space="preserve">Javni poziv </w:t>
    </w:r>
    <w:proofErr w:type="spellStart"/>
    <w:r w:rsidRPr="00D33DCA">
      <w:rPr>
        <w:rFonts w:ascii="Calibri" w:hAnsi="Calibri"/>
        <w:i/>
        <w:color w:val="808080" w:themeColor="background1" w:themeShade="80"/>
        <w:sz w:val="22"/>
      </w:rPr>
      <w:t>Interreg</w:t>
    </w:r>
    <w:proofErr w:type="spellEnd"/>
    <w:r w:rsidRPr="00D33DCA">
      <w:rPr>
        <w:rFonts w:ascii="Calibri" w:hAnsi="Calibri"/>
        <w:i/>
        <w:color w:val="808080" w:themeColor="background1" w:themeShade="80"/>
        <w:sz w:val="22"/>
      </w:rPr>
      <w:t xml:space="preserve"> V-A SI-HR, 15. 1.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1499498402"/>
      <w:docPartObj>
        <w:docPartGallery w:val="Page Numbers (Bottom of Page)"/>
        <w:docPartUnique/>
      </w:docPartObj>
    </w:sdtPr>
    <w:sdtEndPr/>
    <w:sdtContent>
      <w:p w:rsidR="002760F9" w:rsidRPr="00D33DCA" w:rsidRDefault="002760F9" w:rsidP="00D33DCA">
        <w:pPr>
          <w:pStyle w:val="Noga"/>
          <w:pBdr>
            <w:bottom w:val="single" w:sz="6" w:space="1" w:color="auto"/>
          </w:pBdr>
          <w:jc w:val="right"/>
          <w:rPr>
            <w:rFonts w:ascii="Calibri" w:hAnsi="Calibri"/>
            <w:sz w:val="22"/>
          </w:rPr>
        </w:pPr>
        <w:r w:rsidRPr="00D33DCA">
          <w:rPr>
            <w:rFonts w:ascii="Calibri" w:hAnsi="Calibri"/>
            <w:sz w:val="22"/>
          </w:rPr>
          <w:fldChar w:fldCharType="begin"/>
        </w:r>
        <w:r w:rsidRPr="00D33DCA">
          <w:rPr>
            <w:rFonts w:ascii="Calibri" w:hAnsi="Calibri"/>
            <w:sz w:val="22"/>
          </w:rPr>
          <w:instrText>PAGE   \* MERGEFORMAT</w:instrText>
        </w:r>
        <w:r w:rsidRPr="00D33DCA">
          <w:rPr>
            <w:rFonts w:ascii="Calibri" w:hAnsi="Calibri"/>
            <w:sz w:val="22"/>
          </w:rPr>
          <w:fldChar w:fldCharType="separate"/>
        </w:r>
        <w:r w:rsidR="00FD4379">
          <w:rPr>
            <w:rFonts w:ascii="Calibri" w:hAnsi="Calibri"/>
            <w:noProof/>
            <w:sz w:val="22"/>
          </w:rPr>
          <w:t>1</w:t>
        </w:r>
        <w:r w:rsidRPr="00D33DCA">
          <w:rPr>
            <w:rFonts w:ascii="Calibri" w:hAnsi="Calibri"/>
            <w:sz w:val="22"/>
          </w:rPr>
          <w:fldChar w:fldCharType="end"/>
        </w:r>
      </w:p>
      <w:p w:rsidR="002760F9" w:rsidRPr="00D33DCA" w:rsidRDefault="00FD4379" w:rsidP="00D33DCA">
        <w:pPr>
          <w:pStyle w:val="Noga"/>
          <w:pBdr>
            <w:bottom w:val="single" w:sz="6" w:space="1" w:color="auto"/>
          </w:pBdr>
          <w:jc w:val="center"/>
          <w:rPr>
            <w:sz w:val="22"/>
          </w:rPr>
        </w:pPr>
      </w:p>
    </w:sdtContent>
  </w:sdt>
  <w:p w:rsidR="002760F9" w:rsidRPr="00D33DCA" w:rsidRDefault="002760F9" w:rsidP="00D33DCA">
    <w:pPr>
      <w:pStyle w:val="Noga"/>
      <w:jc w:val="right"/>
      <w:rPr>
        <w:rFonts w:ascii="Calibri" w:hAnsi="Calibri"/>
        <w:i/>
        <w:color w:val="808080" w:themeColor="background1" w:themeShade="80"/>
        <w:sz w:val="22"/>
      </w:rPr>
    </w:pPr>
    <w:r w:rsidRPr="00D33DCA">
      <w:rPr>
        <w:rFonts w:ascii="Calibri" w:hAnsi="Calibri"/>
        <w:i/>
        <w:color w:val="808080" w:themeColor="background1" w:themeShade="80"/>
        <w:sz w:val="22"/>
      </w:rPr>
      <w:t xml:space="preserve">Javni poziv </w:t>
    </w:r>
    <w:proofErr w:type="spellStart"/>
    <w:r w:rsidRPr="00D33DCA">
      <w:rPr>
        <w:rFonts w:ascii="Calibri" w:hAnsi="Calibri"/>
        <w:i/>
        <w:color w:val="808080" w:themeColor="background1" w:themeShade="80"/>
        <w:sz w:val="22"/>
      </w:rPr>
      <w:t>Interreg</w:t>
    </w:r>
    <w:proofErr w:type="spellEnd"/>
    <w:r w:rsidRPr="00D33DCA">
      <w:rPr>
        <w:rFonts w:ascii="Calibri" w:hAnsi="Calibri"/>
        <w:i/>
        <w:color w:val="808080" w:themeColor="background1" w:themeShade="80"/>
        <w:sz w:val="22"/>
      </w:rPr>
      <w:t xml:space="preserve"> V-A SI-HR, 15. 1.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0F9" w:rsidRDefault="002760F9">
      <w:pPr>
        <w:spacing w:after="0" w:line="240" w:lineRule="auto"/>
      </w:pPr>
      <w:r>
        <w:separator/>
      </w:r>
    </w:p>
  </w:footnote>
  <w:footnote w:type="continuationSeparator" w:id="0">
    <w:p w:rsidR="002760F9" w:rsidRDefault="00276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0F9" w:rsidRDefault="002760F9" w:rsidP="002760F9">
    <w:pPr>
      <w:pStyle w:val="Glav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0F9" w:rsidRPr="0068356C" w:rsidRDefault="002760F9" w:rsidP="00C13BB3">
    <w:pPr>
      <w:pStyle w:val="Glava"/>
      <w:jc w:val="right"/>
      <w:rPr>
        <w:rFonts w:ascii="Calibri" w:hAnsi="Calibri"/>
        <w:b/>
        <w:sz w:val="24"/>
        <w:szCs w:val="24"/>
      </w:rPr>
    </w:pPr>
    <w:r>
      <w:rPr>
        <w:rFonts w:ascii="Calibri" w:hAnsi="Calibri"/>
        <w:b/>
        <w:noProof/>
        <w:sz w:val="24"/>
        <w:szCs w:val="24"/>
        <w:lang w:val="sl-SI" w:eastAsia="sl-SI" w:bidi="ar-SA"/>
      </w:rPr>
      <w:drawing>
        <wp:inline distT="0" distB="0" distL="0" distR="0">
          <wp:extent cx="2653114" cy="73152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4944" cy="732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19A"/>
    <w:multiLevelType w:val="hybridMultilevel"/>
    <w:tmpl w:val="13527AF2"/>
    <w:lvl w:ilvl="0" w:tplc="3D60EDA0">
      <w:start w:val="1"/>
      <w:numFmt w:val="lowerLetter"/>
      <w:lvlText w:val="%1)"/>
      <w:lvlJc w:val="left"/>
      <w:pPr>
        <w:ind w:left="720" w:hanging="360"/>
      </w:pPr>
      <w:rPr>
        <w:rFonts w:hint="default"/>
      </w:rPr>
    </w:lvl>
    <w:lvl w:ilvl="1" w:tplc="04240019" w:tentative="1">
      <w:start w:val="1"/>
      <w:numFmt w:val="lowerLetter"/>
      <w:lvlText w:val="%2."/>
      <w:lvlJc w:val="left"/>
      <w:pPr>
        <w:ind w:left="720" w:hanging="360"/>
      </w:pPr>
    </w:lvl>
    <w:lvl w:ilvl="2" w:tplc="0424001B" w:tentative="1">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1">
    <w:nsid w:val="10471D97"/>
    <w:multiLevelType w:val="hybridMultilevel"/>
    <w:tmpl w:val="CBDAF8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1CB398B"/>
    <w:multiLevelType w:val="hybridMultilevel"/>
    <w:tmpl w:val="5B30B844"/>
    <w:lvl w:ilvl="0" w:tplc="9386143E">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FC2F51"/>
    <w:multiLevelType w:val="hybridMultilevel"/>
    <w:tmpl w:val="2304C8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87D261F"/>
    <w:multiLevelType w:val="hybridMultilevel"/>
    <w:tmpl w:val="15ACE9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359565A"/>
    <w:multiLevelType w:val="hybridMultilevel"/>
    <w:tmpl w:val="13527AF2"/>
    <w:lvl w:ilvl="0" w:tplc="3D60EDA0">
      <w:start w:val="1"/>
      <w:numFmt w:val="lowerLetter"/>
      <w:lvlText w:val="%1)"/>
      <w:lvlJc w:val="left"/>
      <w:pPr>
        <w:ind w:left="720" w:hanging="360"/>
      </w:pPr>
      <w:rPr>
        <w:rFonts w:hint="default"/>
      </w:rPr>
    </w:lvl>
    <w:lvl w:ilvl="1" w:tplc="04240019" w:tentative="1">
      <w:start w:val="1"/>
      <w:numFmt w:val="lowerLetter"/>
      <w:lvlText w:val="%2."/>
      <w:lvlJc w:val="left"/>
      <w:pPr>
        <w:ind w:left="720" w:hanging="360"/>
      </w:pPr>
    </w:lvl>
    <w:lvl w:ilvl="2" w:tplc="0424001B" w:tentative="1">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6">
    <w:nsid w:val="23954FCD"/>
    <w:multiLevelType w:val="hybridMultilevel"/>
    <w:tmpl w:val="E7D0A7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158077D"/>
    <w:multiLevelType w:val="hybridMultilevel"/>
    <w:tmpl w:val="880A7EE8"/>
    <w:lvl w:ilvl="0" w:tplc="EE329F72">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B013713"/>
    <w:multiLevelType w:val="hybridMultilevel"/>
    <w:tmpl w:val="13527AF2"/>
    <w:lvl w:ilvl="0" w:tplc="3D60EDA0">
      <w:start w:val="1"/>
      <w:numFmt w:val="lowerLetter"/>
      <w:lvlText w:val="%1)"/>
      <w:lvlJc w:val="left"/>
      <w:pPr>
        <w:ind w:left="720" w:hanging="360"/>
      </w:pPr>
      <w:rPr>
        <w:rFonts w:hint="default"/>
      </w:rPr>
    </w:lvl>
    <w:lvl w:ilvl="1" w:tplc="04240019" w:tentative="1">
      <w:start w:val="1"/>
      <w:numFmt w:val="lowerLetter"/>
      <w:lvlText w:val="%2."/>
      <w:lvlJc w:val="left"/>
      <w:pPr>
        <w:ind w:left="720" w:hanging="360"/>
      </w:pPr>
    </w:lvl>
    <w:lvl w:ilvl="2" w:tplc="0424001B" w:tentative="1">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9">
    <w:nsid w:val="503367B4"/>
    <w:multiLevelType w:val="hybridMultilevel"/>
    <w:tmpl w:val="3F7E2C66"/>
    <w:lvl w:ilvl="0" w:tplc="9DC867AC">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1B30CD0"/>
    <w:multiLevelType w:val="hybridMultilevel"/>
    <w:tmpl w:val="AC00FE16"/>
    <w:lvl w:ilvl="0" w:tplc="E57C6C2A">
      <w:start w:val="1"/>
      <w:numFmt w:val="decimal"/>
      <w:lvlText w:val="%1."/>
      <w:lvlJc w:val="left"/>
      <w:pPr>
        <w:ind w:left="720" w:hanging="360"/>
      </w:pPr>
      <w:rPr>
        <w:rFonts w:hint="default"/>
        <w:b w:val="0"/>
      </w:rPr>
    </w:lvl>
    <w:lvl w:ilvl="1" w:tplc="3D60EDA0">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4243542"/>
    <w:multiLevelType w:val="hybridMultilevel"/>
    <w:tmpl w:val="AFE20E76"/>
    <w:lvl w:ilvl="0" w:tplc="2DFC77DC">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58D4732B"/>
    <w:multiLevelType w:val="hybridMultilevel"/>
    <w:tmpl w:val="96E09072"/>
    <w:lvl w:ilvl="0" w:tplc="EED0517C">
      <w:start w:val="1"/>
      <w:numFmt w:val="lowerLetter"/>
      <w:lvlText w:val="%1)"/>
      <w:lvlJc w:val="left"/>
      <w:pPr>
        <w:ind w:left="720" w:hanging="360"/>
      </w:pPr>
      <w:rPr>
        <w:rFonts w:ascii="Calibri" w:eastAsiaTheme="minorHAnsi" w:hAnsi="Calibr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5AB62F3F"/>
    <w:multiLevelType w:val="hybridMultilevel"/>
    <w:tmpl w:val="333267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5C1267CA"/>
    <w:multiLevelType w:val="hybridMultilevel"/>
    <w:tmpl w:val="8270AA2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nsid w:val="62232429"/>
    <w:multiLevelType w:val="hybridMultilevel"/>
    <w:tmpl w:val="FF481B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6594189C"/>
    <w:multiLevelType w:val="hybridMultilevel"/>
    <w:tmpl w:val="28F483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66ED4E2E"/>
    <w:multiLevelType w:val="hybridMultilevel"/>
    <w:tmpl w:val="13527AF2"/>
    <w:lvl w:ilvl="0" w:tplc="3D60EDA0">
      <w:start w:val="1"/>
      <w:numFmt w:val="lowerLetter"/>
      <w:lvlText w:val="%1)"/>
      <w:lvlJc w:val="left"/>
      <w:pPr>
        <w:ind w:left="720" w:hanging="360"/>
      </w:pPr>
      <w:rPr>
        <w:rFonts w:hint="default"/>
      </w:rPr>
    </w:lvl>
    <w:lvl w:ilvl="1" w:tplc="04240019" w:tentative="1">
      <w:start w:val="1"/>
      <w:numFmt w:val="lowerLetter"/>
      <w:lvlText w:val="%2."/>
      <w:lvlJc w:val="left"/>
      <w:pPr>
        <w:ind w:left="720" w:hanging="360"/>
      </w:pPr>
    </w:lvl>
    <w:lvl w:ilvl="2" w:tplc="0424001B" w:tentative="1">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18">
    <w:nsid w:val="6FDD48B0"/>
    <w:multiLevelType w:val="hybridMultilevel"/>
    <w:tmpl w:val="38D6DA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71C71E55"/>
    <w:multiLevelType w:val="hybridMultilevel"/>
    <w:tmpl w:val="0E6203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733C20FE"/>
    <w:multiLevelType w:val="hybridMultilevel"/>
    <w:tmpl w:val="3E8612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7C203261"/>
    <w:multiLevelType w:val="hybridMultilevel"/>
    <w:tmpl w:val="9E4062F2"/>
    <w:lvl w:ilvl="0" w:tplc="33D24940">
      <w:start w:val="1"/>
      <w:numFmt w:val="lowerLetter"/>
      <w:lvlText w:val="%1)"/>
      <w:lvlJc w:val="left"/>
      <w:pPr>
        <w:ind w:left="720" w:hanging="360"/>
      </w:pPr>
      <w:rPr>
        <w:rFonts w:ascii="Calibri" w:eastAsiaTheme="minorHAnsi" w:hAnsi="Calibr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1"/>
  </w:num>
  <w:num w:numId="3">
    <w:abstractNumId w:val="7"/>
  </w:num>
  <w:num w:numId="4">
    <w:abstractNumId w:val="12"/>
  </w:num>
  <w:num w:numId="5">
    <w:abstractNumId w:val="21"/>
  </w:num>
  <w:num w:numId="6">
    <w:abstractNumId w:val="9"/>
  </w:num>
  <w:num w:numId="7">
    <w:abstractNumId w:val="10"/>
  </w:num>
  <w:num w:numId="8">
    <w:abstractNumId w:val="3"/>
  </w:num>
  <w:num w:numId="9">
    <w:abstractNumId w:val="4"/>
  </w:num>
  <w:num w:numId="10">
    <w:abstractNumId w:val="6"/>
  </w:num>
  <w:num w:numId="11">
    <w:abstractNumId w:val="1"/>
  </w:num>
  <w:num w:numId="12">
    <w:abstractNumId w:val="16"/>
  </w:num>
  <w:num w:numId="13">
    <w:abstractNumId w:val="13"/>
  </w:num>
  <w:num w:numId="14">
    <w:abstractNumId w:val="15"/>
  </w:num>
  <w:num w:numId="15">
    <w:abstractNumId w:val="18"/>
  </w:num>
  <w:num w:numId="16">
    <w:abstractNumId w:val="19"/>
  </w:num>
  <w:num w:numId="17">
    <w:abstractNumId w:val="20"/>
  </w:num>
  <w:num w:numId="18">
    <w:abstractNumId w:val="14"/>
  </w:num>
  <w:num w:numId="19">
    <w:abstractNumId w:val="17"/>
  </w:num>
  <w:num w:numId="20">
    <w:abstractNumId w:val="8"/>
  </w:num>
  <w:num w:numId="21">
    <w:abstractNumId w:val="0"/>
  </w:num>
  <w:num w:numId="2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slav Kovač">
    <w15:presenceInfo w15:providerId="AD" w15:userId="S-1-5-21-770633012-169110031-1155432073-2808"/>
  </w15:person>
  <w15:person w15:author="Danijela Gjuras">
    <w15:presenceInfo w15:providerId="AD" w15:userId="S-1-5-21-770633012-169110031-1155432073-1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620"/>
    <w:rsid w:val="0001091E"/>
    <w:rsid w:val="000F6C57"/>
    <w:rsid w:val="0014625C"/>
    <w:rsid w:val="00194D48"/>
    <w:rsid w:val="00205753"/>
    <w:rsid w:val="00211E4A"/>
    <w:rsid w:val="00216D77"/>
    <w:rsid w:val="002245D9"/>
    <w:rsid w:val="002760F9"/>
    <w:rsid w:val="002B6600"/>
    <w:rsid w:val="002B7A34"/>
    <w:rsid w:val="002E7FB0"/>
    <w:rsid w:val="00310755"/>
    <w:rsid w:val="00345335"/>
    <w:rsid w:val="00367715"/>
    <w:rsid w:val="00394E5E"/>
    <w:rsid w:val="003A68D7"/>
    <w:rsid w:val="003B0C86"/>
    <w:rsid w:val="00400073"/>
    <w:rsid w:val="00417AE2"/>
    <w:rsid w:val="00432B3D"/>
    <w:rsid w:val="004408E3"/>
    <w:rsid w:val="004722AB"/>
    <w:rsid w:val="004B61F4"/>
    <w:rsid w:val="004C6C83"/>
    <w:rsid w:val="004E74EE"/>
    <w:rsid w:val="004F4620"/>
    <w:rsid w:val="005030E9"/>
    <w:rsid w:val="00506347"/>
    <w:rsid w:val="00515811"/>
    <w:rsid w:val="0053290C"/>
    <w:rsid w:val="005376D6"/>
    <w:rsid w:val="00574C76"/>
    <w:rsid w:val="00582B5B"/>
    <w:rsid w:val="00585967"/>
    <w:rsid w:val="005C144D"/>
    <w:rsid w:val="005C1663"/>
    <w:rsid w:val="006100C2"/>
    <w:rsid w:val="006515E5"/>
    <w:rsid w:val="0065262E"/>
    <w:rsid w:val="0065391D"/>
    <w:rsid w:val="006549C2"/>
    <w:rsid w:val="006605E4"/>
    <w:rsid w:val="00665DDD"/>
    <w:rsid w:val="0066679C"/>
    <w:rsid w:val="00673C05"/>
    <w:rsid w:val="006D33DF"/>
    <w:rsid w:val="006D560F"/>
    <w:rsid w:val="006E7342"/>
    <w:rsid w:val="007026CC"/>
    <w:rsid w:val="00745E24"/>
    <w:rsid w:val="0077338F"/>
    <w:rsid w:val="0079177E"/>
    <w:rsid w:val="007D22F2"/>
    <w:rsid w:val="007E008D"/>
    <w:rsid w:val="007F0606"/>
    <w:rsid w:val="008026E9"/>
    <w:rsid w:val="00841283"/>
    <w:rsid w:val="00894CA2"/>
    <w:rsid w:val="008F3AED"/>
    <w:rsid w:val="00921A4E"/>
    <w:rsid w:val="00931FD3"/>
    <w:rsid w:val="00932F80"/>
    <w:rsid w:val="009523A3"/>
    <w:rsid w:val="00966581"/>
    <w:rsid w:val="00980591"/>
    <w:rsid w:val="009D47BA"/>
    <w:rsid w:val="00A142A9"/>
    <w:rsid w:val="00A26971"/>
    <w:rsid w:val="00A344BC"/>
    <w:rsid w:val="00A34FA8"/>
    <w:rsid w:val="00A35E25"/>
    <w:rsid w:val="00A43A84"/>
    <w:rsid w:val="00A53EF2"/>
    <w:rsid w:val="00AA2955"/>
    <w:rsid w:val="00AC3EFC"/>
    <w:rsid w:val="00AC7C88"/>
    <w:rsid w:val="00AD2031"/>
    <w:rsid w:val="00AD5EFB"/>
    <w:rsid w:val="00AE109F"/>
    <w:rsid w:val="00AE3828"/>
    <w:rsid w:val="00B05F0A"/>
    <w:rsid w:val="00B06CAE"/>
    <w:rsid w:val="00B12758"/>
    <w:rsid w:val="00B403F6"/>
    <w:rsid w:val="00BA07A7"/>
    <w:rsid w:val="00BA1FF1"/>
    <w:rsid w:val="00BF3074"/>
    <w:rsid w:val="00C0409A"/>
    <w:rsid w:val="00C13BB3"/>
    <w:rsid w:val="00C23F7C"/>
    <w:rsid w:val="00C32597"/>
    <w:rsid w:val="00CE6F8C"/>
    <w:rsid w:val="00CF6FF8"/>
    <w:rsid w:val="00D0179F"/>
    <w:rsid w:val="00D1180E"/>
    <w:rsid w:val="00D214EB"/>
    <w:rsid w:val="00D33DCA"/>
    <w:rsid w:val="00D45F3C"/>
    <w:rsid w:val="00D47B47"/>
    <w:rsid w:val="00D84DE7"/>
    <w:rsid w:val="00DA0225"/>
    <w:rsid w:val="00DA06E0"/>
    <w:rsid w:val="00DD3762"/>
    <w:rsid w:val="00E17499"/>
    <w:rsid w:val="00E20A76"/>
    <w:rsid w:val="00E424B2"/>
    <w:rsid w:val="00E72B2F"/>
    <w:rsid w:val="00E76476"/>
    <w:rsid w:val="00E91529"/>
    <w:rsid w:val="00EB57E5"/>
    <w:rsid w:val="00EB6058"/>
    <w:rsid w:val="00EE4094"/>
    <w:rsid w:val="00F01781"/>
    <w:rsid w:val="00F14008"/>
    <w:rsid w:val="00F22255"/>
    <w:rsid w:val="00F5136E"/>
    <w:rsid w:val="00F74060"/>
    <w:rsid w:val="00FB22A5"/>
    <w:rsid w:val="00FB479A"/>
    <w:rsid w:val="00FC6D71"/>
    <w:rsid w:val="00FD4379"/>
    <w:rsid w:val="00FE7A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6771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rsid w:val="004F4620"/>
    <w:pPr>
      <w:spacing w:after="0" w:line="240" w:lineRule="auto"/>
      <w:ind w:left="720"/>
      <w:contextualSpacing/>
    </w:pPr>
  </w:style>
  <w:style w:type="character" w:customStyle="1" w:styleId="OdstavekseznamaZnak">
    <w:name w:val="Odstavek seznama Znak"/>
    <w:basedOn w:val="Privzetapisavaodstavka"/>
    <w:link w:val="Odstavekseznama"/>
    <w:uiPriority w:val="34"/>
    <w:rsid w:val="004F4620"/>
    <w:rPr>
      <w:lang w:val="hr-HR"/>
    </w:rPr>
  </w:style>
  <w:style w:type="paragraph" w:styleId="Glava">
    <w:name w:val="header"/>
    <w:basedOn w:val="Navaden"/>
    <w:link w:val="GlavaZnak"/>
    <w:uiPriority w:val="99"/>
    <w:unhideWhenUsed/>
    <w:rsid w:val="004F4620"/>
    <w:pPr>
      <w:tabs>
        <w:tab w:val="center" w:pos="4819"/>
        <w:tab w:val="right" w:pos="9638"/>
      </w:tabs>
      <w:spacing w:after="0" w:line="240" w:lineRule="auto"/>
    </w:pPr>
  </w:style>
  <w:style w:type="character" w:customStyle="1" w:styleId="GlavaZnak">
    <w:name w:val="Glava Znak"/>
    <w:basedOn w:val="Privzetapisavaodstavka"/>
    <w:link w:val="Glava"/>
    <w:uiPriority w:val="99"/>
    <w:rsid w:val="004F4620"/>
    <w:rPr>
      <w:lang w:val="hr-HR"/>
    </w:rPr>
  </w:style>
  <w:style w:type="paragraph" w:styleId="Noga">
    <w:name w:val="footer"/>
    <w:basedOn w:val="Navaden"/>
    <w:link w:val="NogaZnak"/>
    <w:uiPriority w:val="99"/>
    <w:unhideWhenUsed/>
    <w:rsid w:val="004F4620"/>
    <w:pPr>
      <w:tabs>
        <w:tab w:val="center" w:pos="4819"/>
        <w:tab w:val="right" w:pos="9638"/>
      </w:tabs>
      <w:spacing w:after="0" w:line="240" w:lineRule="auto"/>
    </w:pPr>
    <w:rPr>
      <w:sz w:val="20"/>
    </w:rPr>
  </w:style>
  <w:style w:type="character" w:customStyle="1" w:styleId="NogaZnak">
    <w:name w:val="Noga Znak"/>
    <w:basedOn w:val="Privzetapisavaodstavka"/>
    <w:link w:val="Noga"/>
    <w:uiPriority w:val="99"/>
    <w:rsid w:val="004F4620"/>
    <w:rPr>
      <w:sz w:val="20"/>
      <w:lang w:val="hr-HR"/>
    </w:rPr>
  </w:style>
  <w:style w:type="table" w:styleId="Tabelamrea">
    <w:name w:val="Table Grid"/>
    <w:basedOn w:val="Navadnatabela"/>
    <w:uiPriority w:val="99"/>
    <w:rsid w:val="004F4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4F462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F4620"/>
    <w:rPr>
      <w:rFonts w:ascii="Tahoma" w:hAnsi="Tahoma" w:cs="Tahoma"/>
      <w:sz w:val="16"/>
      <w:szCs w:val="16"/>
    </w:rPr>
  </w:style>
  <w:style w:type="character" w:styleId="Hiperpovezava">
    <w:name w:val="Hyperlink"/>
    <w:basedOn w:val="Privzetapisavaodstavka"/>
    <w:uiPriority w:val="99"/>
    <w:unhideWhenUsed/>
    <w:rsid w:val="00FE7A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6771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rsid w:val="004F4620"/>
    <w:pPr>
      <w:spacing w:after="0" w:line="240" w:lineRule="auto"/>
      <w:ind w:left="720"/>
      <w:contextualSpacing/>
    </w:pPr>
  </w:style>
  <w:style w:type="character" w:customStyle="1" w:styleId="OdstavekseznamaZnak">
    <w:name w:val="Odstavek seznama Znak"/>
    <w:basedOn w:val="Privzetapisavaodstavka"/>
    <w:link w:val="Odstavekseznama"/>
    <w:uiPriority w:val="34"/>
    <w:rsid w:val="004F4620"/>
    <w:rPr>
      <w:lang w:val="hr-HR"/>
    </w:rPr>
  </w:style>
  <w:style w:type="paragraph" w:styleId="Glava">
    <w:name w:val="header"/>
    <w:basedOn w:val="Navaden"/>
    <w:link w:val="GlavaZnak"/>
    <w:uiPriority w:val="99"/>
    <w:unhideWhenUsed/>
    <w:rsid w:val="004F4620"/>
    <w:pPr>
      <w:tabs>
        <w:tab w:val="center" w:pos="4819"/>
        <w:tab w:val="right" w:pos="9638"/>
      </w:tabs>
      <w:spacing w:after="0" w:line="240" w:lineRule="auto"/>
    </w:pPr>
  </w:style>
  <w:style w:type="character" w:customStyle="1" w:styleId="GlavaZnak">
    <w:name w:val="Glava Znak"/>
    <w:basedOn w:val="Privzetapisavaodstavka"/>
    <w:link w:val="Glava"/>
    <w:uiPriority w:val="99"/>
    <w:rsid w:val="004F4620"/>
    <w:rPr>
      <w:lang w:val="hr-HR"/>
    </w:rPr>
  </w:style>
  <w:style w:type="paragraph" w:styleId="Noga">
    <w:name w:val="footer"/>
    <w:basedOn w:val="Navaden"/>
    <w:link w:val="NogaZnak"/>
    <w:uiPriority w:val="99"/>
    <w:unhideWhenUsed/>
    <w:rsid w:val="004F4620"/>
    <w:pPr>
      <w:tabs>
        <w:tab w:val="center" w:pos="4819"/>
        <w:tab w:val="right" w:pos="9638"/>
      </w:tabs>
      <w:spacing w:after="0" w:line="240" w:lineRule="auto"/>
    </w:pPr>
    <w:rPr>
      <w:sz w:val="20"/>
    </w:rPr>
  </w:style>
  <w:style w:type="character" w:customStyle="1" w:styleId="NogaZnak">
    <w:name w:val="Noga Znak"/>
    <w:basedOn w:val="Privzetapisavaodstavka"/>
    <w:link w:val="Noga"/>
    <w:uiPriority w:val="99"/>
    <w:rsid w:val="004F4620"/>
    <w:rPr>
      <w:sz w:val="20"/>
      <w:lang w:val="hr-HR"/>
    </w:rPr>
  </w:style>
  <w:style w:type="table" w:styleId="Tabelamrea">
    <w:name w:val="Table Grid"/>
    <w:basedOn w:val="Navadnatabela"/>
    <w:uiPriority w:val="99"/>
    <w:rsid w:val="004F4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4F462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F4620"/>
    <w:rPr>
      <w:rFonts w:ascii="Tahoma" w:hAnsi="Tahoma" w:cs="Tahoma"/>
      <w:sz w:val="16"/>
      <w:szCs w:val="16"/>
    </w:rPr>
  </w:style>
  <w:style w:type="character" w:styleId="Hiperpovezava">
    <w:name w:val="Hyperlink"/>
    <w:basedOn w:val="Privzetapisavaodstavka"/>
    <w:uiPriority w:val="99"/>
    <w:unhideWhenUsed/>
    <w:rsid w:val="00FE7A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i-hr.e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B0A51-6AAB-4B7E-B557-84C0AE9D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4685</Words>
  <Characters>26709</Characters>
  <Application>Microsoft Office Word</Application>
  <DocSecurity>0</DocSecurity>
  <Lines>222</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31332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Eva Stare</cp:lastModifiedBy>
  <cp:revision>4</cp:revision>
  <dcterms:created xsi:type="dcterms:W3CDTF">2016-01-13T10:36:00Z</dcterms:created>
  <dcterms:modified xsi:type="dcterms:W3CDTF">2016-01-13T12:23:00Z</dcterms:modified>
</cp:coreProperties>
</file>